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037E5" w14:textId="77777777" w:rsidR="00F870B6" w:rsidRPr="00395A84" w:rsidRDefault="00F870B6" w:rsidP="00F870B6">
      <w:pPr>
        <w:rPr>
          <w:rFonts w:ascii="Arial" w:eastAsia="Times New Roman" w:hAnsi="Arial" w:cs="Arial"/>
          <w:color w:val="000000"/>
        </w:rPr>
      </w:pPr>
    </w:p>
    <w:p w14:paraId="7FE06D07" w14:textId="77777777" w:rsidR="004A31C4" w:rsidRPr="00395A84" w:rsidRDefault="004A31C4" w:rsidP="004A31C4">
      <w:pPr>
        <w:rPr>
          <w:rFonts w:ascii="Arial" w:eastAsia="Times New Roman" w:hAnsi="Arial" w:cs="Arial"/>
          <w:b/>
          <w:color w:val="000000"/>
        </w:rPr>
      </w:pPr>
    </w:p>
    <w:p w14:paraId="09255C05" w14:textId="6954B187" w:rsidR="0044528D" w:rsidRDefault="0091658A" w:rsidP="006D2670">
      <w:pPr>
        <w:jc w:val="center"/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</w:pPr>
      <w:proofErr w:type="gramStart"/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ICGEB</w:t>
      </w:r>
      <w:r w:rsidR="0044528D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CON SUN PHARMA:</w:t>
      </w:r>
      <w:r w:rsidR="00983D3A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AVVIATA </w:t>
      </w:r>
      <w:r w:rsidR="0044528D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LA SPERIMENTAZIONE CLINICA FASE II </w:t>
      </w:r>
      <w:r w:rsidR="00983D3A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DI </w:t>
      </w:r>
      <w:r w:rsidR="0044528D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AQCH COME POTENZIALE TRATTAMENTE DEI PAZIENTI COVID-19</w:t>
      </w:r>
      <w:proofErr w:type="gramEnd"/>
    </w:p>
    <w:p w14:paraId="568D2390" w14:textId="77777777" w:rsidR="0044528D" w:rsidRDefault="0044528D" w:rsidP="006D2670">
      <w:pPr>
        <w:jc w:val="center"/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</w:pPr>
    </w:p>
    <w:p w14:paraId="0D44B451" w14:textId="21381198" w:rsidR="00AC4196" w:rsidRPr="00D677F5" w:rsidRDefault="00734D01" w:rsidP="006D2670">
      <w:pPr>
        <w:jc w:val="center"/>
        <w:rPr>
          <w:rFonts w:ascii="Arial" w:hAnsi="Arial" w:cs="Arial"/>
          <w:color w:val="000000"/>
          <w:sz w:val="22"/>
          <w:szCs w:val="22"/>
          <w:lang w:val="it-IT"/>
        </w:rPr>
      </w:pPr>
      <w:r w:rsidRPr="00D677F5">
        <w:rPr>
          <w:rFonts w:ascii="Arial" w:hAnsi="Arial" w:cs="Arial"/>
          <w:color w:val="000000"/>
          <w:sz w:val="22"/>
          <w:szCs w:val="22"/>
          <w:lang w:val="it-IT"/>
        </w:rPr>
        <w:t>Comunicato Stampa</w:t>
      </w:r>
    </w:p>
    <w:p w14:paraId="2D8CCE0A" w14:textId="77777777" w:rsidR="0091658A" w:rsidRPr="00D677F5" w:rsidRDefault="0091658A" w:rsidP="00D677F5">
      <w:pPr>
        <w:rPr>
          <w:rFonts w:ascii="Arial" w:hAnsi="Arial" w:cs="Arial"/>
          <w:b/>
          <w:sz w:val="22"/>
          <w:szCs w:val="22"/>
          <w:lang w:val="it-IT"/>
        </w:rPr>
      </w:pPr>
    </w:p>
    <w:p w14:paraId="0F3BFF74" w14:textId="77777777" w:rsidR="00983D3A" w:rsidRDefault="00983D3A" w:rsidP="00983D3A">
      <w:pPr>
        <w:jc w:val="center"/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</w:pP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Studi condotti in collaborazione con ICGEB, Italia</w:t>
      </w:r>
      <w:r w:rsidRPr="00D677F5">
        <w:rPr>
          <w:rFonts w:ascii="Arial" w:eastAsia="Times New Roman" w:hAnsi="Arial" w:cs="Arial"/>
          <w:b/>
          <w:sz w:val="22"/>
          <w:szCs w:val="22"/>
          <w:lang w:val="it-IT"/>
        </w:rPr>
        <w:br/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si sono dimostrati strumentali all'avvio della sperimentazione clinica di Fase II per il </w:t>
      </w:r>
      <w:r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prodotto fitofarmaceutico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AQCH, come potenziale trattamento dei pazienti COVID-19</w:t>
      </w:r>
      <w:r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.</w:t>
      </w:r>
    </w:p>
    <w:p w14:paraId="439472C3" w14:textId="77777777" w:rsidR="001027B8" w:rsidRPr="00D677F5" w:rsidRDefault="001027B8" w:rsidP="00983D3A">
      <w:pPr>
        <w:jc w:val="center"/>
        <w:rPr>
          <w:rFonts w:ascii="Arial" w:hAnsi="Arial" w:cs="Arial"/>
          <w:b/>
          <w:color w:val="000000"/>
          <w:sz w:val="22"/>
          <w:szCs w:val="22"/>
          <w:lang w:val="it-IT"/>
        </w:rPr>
      </w:pPr>
      <w:bookmarkStart w:id="0" w:name="_GoBack"/>
      <w:bookmarkEnd w:id="0"/>
    </w:p>
    <w:p w14:paraId="1036A2E1" w14:textId="77777777" w:rsidR="00963470" w:rsidRDefault="0091658A" w:rsidP="006D2670">
      <w:pPr>
        <w:jc w:val="center"/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</w:pP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"</w:t>
      </w:r>
      <w:proofErr w:type="spellStart"/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Sun</w:t>
      </w:r>
      <w:proofErr w:type="spellEnd"/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Pharma", </w:t>
      </w:r>
      <w:proofErr w:type="spellStart"/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Su</w:t>
      </w:r>
      <w:r w:rsid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n</w:t>
      </w:r>
      <w:proofErr w:type="spellEnd"/>
      <w:r w:rsid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</w:t>
      </w:r>
      <w:proofErr w:type="spellStart"/>
      <w:r w:rsid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Pharmaceutical</w:t>
      </w:r>
      <w:proofErr w:type="spellEnd"/>
      <w:r w:rsid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</w:t>
      </w:r>
      <w:proofErr w:type="spellStart"/>
      <w:r w:rsid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Industries</w:t>
      </w:r>
      <w:proofErr w:type="spellEnd"/>
      <w:r w:rsid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Ltd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,</w:t>
      </w:r>
      <w:r w:rsidR="00734D01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quarto produttore al mondo di </w:t>
      </w:r>
      <w:r w:rsidR="007327CF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specialità</w:t>
      </w:r>
      <w:r w:rsid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farmaceutiche generiche, </w:t>
      </w:r>
      <w:proofErr w:type="gramStart"/>
      <w:r w:rsid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nonché</w:t>
      </w:r>
      <w:proofErr w:type="gramEnd"/>
      <w:r w:rsidR="007327CF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miglior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società farmaceutica indiana, ha annunciato </w:t>
      </w:r>
      <w:r w:rsidR="007327CF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l’avvio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de</w:t>
      </w:r>
      <w:r w:rsidR="007327CF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llo studio clinico di Fase II per AQCH, un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</w:t>
      </w:r>
      <w:r w:rsidR="00EB670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prodotto fitofarmaceutico</w:t>
      </w:r>
    </w:p>
    <w:p w14:paraId="0DC9297B" w14:textId="4C61AB84" w:rsidR="0091658A" w:rsidRPr="00D677F5" w:rsidRDefault="0091658A" w:rsidP="006D2670">
      <w:pPr>
        <w:jc w:val="center"/>
        <w:rPr>
          <w:rFonts w:ascii="Arial" w:hAnsi="Arial" w:cs="Arial"/>
          <w:b/>
          <w:sz w:val="22"/>
          <w:szCs w:val="22"/>
          <w:lang w:val="it-IT"/>
        </w:rPr>
      </w:pPr>
      <w:proofErr w:type="gramStart"/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(di</w:t>
      </w:r>
      <w:proofErr w:type="gramEnd"/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origine</w:t>
      </w:r>
      <w:r w:rsidR="007327CF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vegetale) per il trattamento del</w:t>
      </w:r>
      <w:r w:rsidR="00D34FFA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COVID-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19</w:t>
      </w:r>
    </w:p>
    <w:p w14:paraId="66B58036" w14:textId="77777777" w:rsidR="006D1340" w:rsidRPr="00D677F5" w:rsidRDefault="006D1340" w:rsidP="006D2670">
      <w:pPr>
        <w:jc w:val="center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14:paraId="23657683" w14:textId="3201574B" w:rsidR="00340AC2" w:rsidRPr="00D677F5" w:rsidRDefault="00340AC2" w:rsidP="00EE6F3A">
      <w:pPr>
        <w:pStyle w:val="Default"/>
        <w:numPr>
          <w:ilvl w:val="0"/>
          <w:numId w:val="1"/>
        </w:numPr>
        <w:spacing w:before="120"/>
        <w:ind w:left="714" w:hanging="357"/>
        <w:jc w:val="both"/>
        <w:rPr>
          <w:rFonts w:ascii="Arial" w:eastAsia="Times New Roman" w:hAnsi="Arial" w:cs="Arial"/>
          <w:sz w:val="22"/>
          <w:szCs w:val="22"/>
          <w:lang w:val="it-IT"/>
        </w:rPr>
      </w:pPr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Si tratta</w:t>
      </w:r>
      <w:r w:rsidR="0091658A"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del primo </w:t>
      </w:r>
      <w:r w:rsidR="00EB670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prodotto fitofarmaceutico</w:t>
      </w:r>
      <w:r w:rsidR="0091658A"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approvato per </w:t>
      </w:r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la </w:t>
      </w:r>
      <w:r w:rsidR="0091658A"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sperimentazione clinica</w:t>
      </w:r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per il COVID-19 dal </w:t>
      </w:r>
      <w:proofErr w:type="spellStart"/>
      <w:r w:rsidRPr="00D677F5">
        <w:rPr>
          <w:rFonts w:ascii="Arial" w:eastAsia="Times New Roman" w:hAnsi="Arial" w:cs="Arial"/>
          <w:sz w:val="22"/>
          <w:szCs w:val="22"/>
          <w:lang w:val="it-IT"/>
        </w:rPr>
        <w:t>Drug</w:t>
      </w:r>
      <w:proofErr w:type="spellEnd"/>
      <w:r w:rsidRPr="00D677F5">
        <w:rPr>
          <w:rFonts w:ascii="Arial" w:eastAsia="Times New Roman" w:hAnsi="Arial" w:cs="Arial"/>
          <w:sz w:val="22"/>
          <w:szCs w:val="22"/>
          <w:lang w:val="it-IT"/>
        </w:rPr>
        <w:t xml:space="preserve"> Controller General of India (DCGI</w:t>
      </w:r>
      <w:proofErr w:type="gramStart"/>
      <w:r w:rsidRPr="00D677F5">
        <w:rPr>
          <w:rFonts w:ascii="Arial" w:eastAsia="Times New Roman" w:hAnsi="Arial" w:cs="Arial"/>
          <w:sz w:val="22"/>
          <w:szCs w:val="22"/>
          <w:lang w:val="it-IT"/>
        </w:rPr>
        <w:t>)</w:t>
      </w:r>
      <w:proofErr w:type="gramEnd"/>
    </w:p>
    <w:p w14:paraId="7AD141DD" w14:textId="1A2FAEB7" w:rsidR="001374CD" w:rsidRPr="00D677F5" w:rsidRDefault="0091658A" w:rsidP="00EE6F3A">
      <w:pPr>
        <w:pStyle w:val="Default"/>
        <w:numPr>
          <w:ilvl w:val="0"/>
          <w:numId w:val="1"/>
        </w:numPr>
        <w:spacing w:before="120"/>
        <w:ind w:left="714" w:hanging="357"/>
        <w:jc w:val="both"/>
        <w:rPr>
          <w:rStyle w:val="tlid-translation"/>
          <w:rFonts w:ascii="Arial" w:eastAsia="Times New Roman" w:hAnsi="Arial" w:cs="Arial"/>
          <w:sz w:val="22"/>
          <w:szCs w:val="22"/>
          <w:lang w:val="it-IT"/>
        </w:rPr>
      </w:pPr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La sperimentazione clinica</w:t>
      </w:r>
      <w:r w:rsidR="00D677F5"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, i</w:t>
      </w:r>
      <w:r w:rsidR="001374CD"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cui risultati sono attesi entro ottobre 2020,</w:t>
      </w:r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sarà condotta </w:t>
      </w:r>
      <w:r w:rsidR="00D677F5"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su un campione di 210 pazienti, </w:t>
      </w:r>
      <w:r w:rsidR="00D34FF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in</w:t>
      </w:r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proofErr w:type="gramStart"/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12</w:t>
      </w:r>
      <w:proofErr w:type="gramEnd"/>
      <w:r w:rsidRPr="00D677F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centri in India; </w:t>
      </w:r>
    </w:p>
    <w:p w14:paraId="61FE7F74" w14:textId="5672FE26" w:rsidR="0091658A" w:rsidRPr="00D677F5" w:rsidRDefault="00D677F5" w:rsidP="00EE6F3A">
      <w:pPr>
        <w:pStyle w:val="Default"/>
        <w:numPr>
          <w:ilvl w:val="0"/>
          <w:numId w:val="1"/>
        </w:numPr>
        <w:spacing w:before="120"/>
        <w:ind w:left="714" w:hanging="357"/>
        <w:jc w:val="both"/>
        <w:rPr>
          <w:rFonts w:ascii="Arial" w:hAnsi="Arial" w:cs="Arial"/>
          <w:b/>
          <w:sz w:val="22"/>
          <w:szCs w:val="22"/>
          <w:lang w:val="it-IT"/>
        </w:rPr>
      </w:pP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Gli</w:t>
      </w:r>
      <w:r w:rsidR="0091658A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studi 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sul farmaco condotti </w:t>
      </w:r>
      <w:r w:rsidR="00EA5F25" w:rsidRPr="00EA5F25">
        <w:rPr>
          <w:rStyle w:val="tlid-translation"/>
          <w:rFonts w:ascii="Arial" w:eastAsia="Times New Roman" w:hAnsi="Arial" w:cs="Arial"/>
          <w:b/>
          <w:i/>
          <w:sz w:val="22"/>
          <w:szCs w:val="22"/>
          <w:lang w:val="it-IT"/>
        </w:rPr>
        <w:t>in-</w:t>
      </w:r>
      <w:r w:rsidR="0091658A" w:rsidRPr="00EA5F25">
        <w:rPr>
          <w:rStyle w:val="tlid-translation"/>
          <w:rFonts w:ascii="Arial" w:eastAsia="Times New Roman" w:hAnsi="Arial" w:cs="Arial"/>
          <w:b/>
          <w:i/>
          <w:sz w:val="22"/>
          <w:szCs w:val="22"/>
          <w:lang w:val="it-IT"/>
        </w:rPr>
        <w:t>vitro</w:t>
      </w:r>
      <w:r w:rsidR="0091658A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in collaborazione con il Centro internazionale </w:t>
      </w:r>
      <w:proofErr w:type="gramStart"/>
      <w:r w:rsidR="0091658A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di </w:t>
      </w:r>
      <w:proofErr w:type="gramEnd"/>
      <w:r w:rsidR="0091658A"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ingegneria genetica e biotecnologia (ICGEB), Italia</w:t>
      </w:r>
      <w:r w:rsidRPr="00D677F5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, hanno dimostrato effetti anti-SARS-CoV-2</w:t>
      </w:r>
    </w:p>
    <w:p w14:paraId="7B6C723C" w14:textId="77777777" w:rsidR="0091658A" w:rsidRDefault="0091658A" w:rsidP="005A7EE5">
      <w:pPr>
        <w:pStyle w:val="Default"/>
        <w:jc w:val="both"/>
        <w:rPr>
          <w:rFonts w:ascii="Arial" w:hAnsi="Arial" w:cs="Tahoma"/>
          <w:sz w:val="22"/>
          <w:szCs w:val="22"/>
        </w:rPr>
      </w:pPr>
    </w:p>
    <w:p w14:paraId="7852266A" w14:textId="248DE3EA" w:rsidR="005A7EE5" w:rsidRPr="00EA5F25" w:rsidRDefault="005A7EE5" w:rsidP="00EB6709">
      <w:pPr>
        <w:spacing w:before="120"/>
        <w:jc w:val="both"/>
        <w:rPr>
          <w:rStyle w:val="tlid-translation"/>
          <w:rFonts w:ascii="Arial" w:eastAsia="Times New Roman" w:hAnsi="Arial" w:cs="Arial"/>
          <w:sz w:val="22"/>
          <w:szCs w:val="22"/>
          <w:lang w:val="it-IT"/>
        </w:rPr>
      </w:pPr>
      <w:r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Lo scorso aprile, la</w:t>
      </w:r>
      <w:r w:rsidR="0091658A"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Società ha ricevuto l'approvazione</w:t>
      </w:r>
      <w:r w:rsidR="00D34FF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,</w:t>
      </w:r>
      <w:r w:rsidR="0091658A"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da parte del</w:t>
      </w:r>
      <w:r w:rsidR="00963470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proofErr w:type="spellStart"/>
      <w:r w:rsidR="00963470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Drug</w:t>
      </w:r>
      <w:proofErr w:type="spellEnd"/>
      <w:r w:rsidR="0091658A"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Controller General of India (DCGI)</w:t>
      </w:r>
      <w:r w:rsidR="00D34FF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,</w:t>
      </w:r>
      <w:r w:rsidR="0091658A"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="00D34FF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all</w:t>
      </w:r>
      <w:r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’avvio</w:t>
      </w:r>
      <w:r w:rsidR="0091658A" w:rsidRPr="005A7EE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della sperimentazione clinica di Fase II.</w:t>
      </w:r>
      <w:r w:rsidR="00963470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="0091658A"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La sperimentazione clinica sarà condotta</w:t>
      </w:r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in </w:t>
      </w:r>
      <w:proofErr w:type="gramStart"/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12</w:t>
      </w:r>
      <w:proofErr w:type="gramEnd"/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centri indiani, su un campione di 210 pazienti che saranno sottoposti al trattamento per </w:t>
      </w:r>
      <w:r w:rsidR="0091658A"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10 giorni. I risultati della sperimentazione clinica sono attesi per ottobre 2020. </w:t>
      </w:r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Il </w:t>
      </w:r>
      <w:r w:rsidR="00EB6709"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prodotto fitofarmaceutico</w:t>
      </w:r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="0091658A"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AQCH</w:t>
      </w:r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ha prelimin</w:t>
      </w:r>
      <w:r w:rsidR="00EA5F25"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armente superato la valutazione </w:t>
      </w:r>
      <w:r w:rsidRPr="00EA5F25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della sicurezza e tollerabilità sull’uomo nei dosaggi raccomandati per l’avvio dello studio di Fase II.</w:t>
      </w:r>
    </w:p>
    <w:p w14:paraId="64778D27" w14:textId="77777777" w:rsidR="006D2670" w:rsidRPr="00AC4196" w:rsidRDefault="006D2670" w:rsidP="006D2670">
      <w:pPr>
        <w:pStyle w:val="Default"/>
        <w:jc w:val="both"/>
        <w:rPr>
          <w:rFonts w:ascii="Arial" w:hAnsi="Arial" w:cs="Tahoma"/>
          <w:bCs/>
          <w:sz w:val="22"/>
          <w:szCs w:val="22"/>
        </w:rPr>
      </w:pPr>
    </w:p>
    <w:p w14:paraId="664E8AAD" w14:textId="64FCE54B" w:rsidR="0091658A" w:rsidRPr="009957E4" w:rsidRDefault="0091658A" w:rsidP="006D2670">
      <w:pPr>
        <w:pStyle w:val="Default"/>
        <w:jc w:val="both"/>
        <w:rPr>
          <w:rFonts w:ascii="Arial" w:eastAsia="Times New Roman" w:hAnsi="Arial" w:cs="Arial"/>
          <w:b/>
          <w:sz w:val="22"/>
          <w:szCs w:val="22"/>
        </w:rPr>
      </w:pP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Dilip Shanghvi, amministratore delegato di Sun Pharma, ha dichiarato: “Questo è il primo </w:t>
      </w:r>
      <w:r w:rsidR="00EB6709" w:rsidRPr="009957E4">
        <w:rPr>
          <w:rStyle w:val="tlid-translation"/>
          <w:rFonts w:ascii="Arial" w:eastAsia="Times New Roman" w:hAnsi="Arial" w:cs="Arial"/>
          <w:sz w:val="22"/>
          <w:szCs w:val="22"/>
        </w:rPr>
        <w:t>prodotto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fitofarmaceutico </w:t>
      </w:r>
      <w:r w:rsidR="00EB6709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per il quale il 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>DCGI</w:t>
      </w:r>
      <w:r w:rsidR="00EB6709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ha autorzzato studi clinici per il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potenziale trattamento 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>del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COVID-19. 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Gli studi </w:t>
      </w:r>
      <w:r w:rsidR="00EA5F25" w:rsidRPr="009957E4">
        <w:rPr>
          <w:rStyle w:val="tlid-translation"/>
          <w:rFonts w:ascii="Arial" w:eastAsia="Times New Roman" w:hAnsi="Arial" w:cs="Arial"/>
          <w:i/>
          <w:sz w:val="22"/>
          <w:szCs w:val="22"/>
        </w:rPr>
        <w:t>in-vitro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sul 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>AQCH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, </w:t>
      </w:r>
      <w:r w:rsidR="00EA5F25" w:rsidRPr="009957E4">
        <w:rPr>
          <w:rStyle w:val="tlid-translation"/>
          <w:rFonts w:ascii="Arial" w:eastAsia="Times New Roman" w:hAnsi="Arial" w:cs="Arial"/>
          <w:b/>
          <w:sz w:val="22"/>
          <w:szCs w:val="22"/>
        </w:rPr>
        <w:t>condotti in collaborazione con ICGEB in Italia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>,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hanno dimostrato 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effetti anti-SARS-CoV-2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. 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Questi </w:t>
      </w:r>
      <w:r w:rsidRPr="009957E4">
        <w:rPr>
          <w:rStyle w:val="tlid-translation"/>
          <w:rFonts w:ascii="Arial" w:eastAsia="Times New Roman" w:hAnsi="Arial" w:cs="Arial"/>
          <w:b/>
          <w:sz w:val="22"/>
          <w:szCs w:val="22"/>
        </w:rPr>
        <w:t>risultati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combinati con le infor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mazioni sul meccanismo d'azione del virus, derivanti sia da 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studi in vitro 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>che da studi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su </w:t>
      </w:r>
      <w:r w:rsidR="00C50DA1">
        <w:rPr>
          <w:rStyle w:val="tlid-translation"/>
          <w:rFonts w:ascii="Arial" w:eastAsia="Times New Roman" w:hAnsi="Arial" w:cs="Arial"/>
          <w:sz w:val="22"/>
          <w:szCs w:val="22"/>
        </w:rPr>
        <w:t>modelli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animali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>,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ci 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>permettono di guardare con</w:t>
      </w:r>
      <w:r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 la fiducia </w:t>
      </w:r>
      <w:r w:rsidR="00EA5F25" w:rsidRPr="009957E4">
        <w:rPr>
          <w:rStyle w:val="tlid-translation"/>
          <w:rFonts w:ascii="Arial" w:eastAsia="Times New Roman" w:hAnsi="Arial" w:cs="Arial"/>
          <w:sz w:val="22"/>
          <w:szCs w:val="22"/>
        </w:rPr>
        <w:t xml:space="preserve">a questo prodotto fitofarmaceutico come </w:t>
      </w:r>
      <w:r w:rsidRPr="009957E4">
        <w:rPr>
          <w:rStyle w:val="tlid-translation"/>
          <w:rFonts w:ascii="Arial" w:eastAsia="Times New Roman" w:hAnsi="Arial" w:cs="Arial"/>
          <w:b/>
          <w:sz w:val="22"/>
          <w:szCs w:val="22"/>
        </w:rPr>
        <w:t>potenziale opzione di trat</w:t>
      </w:r>
      <w:r w:rsidR="00963470">
        <w:rPr>
          <w:rStyle w:val="tlid-translation"/>
          <w:rFonts w:ascii="Arial" w:eastAsia="Times New Roman" w:hAnsi="Arial" w:cs="Arial"/>
          <w:b/>
          <w:sz w:val="22"/>
          <w:szCs w:val="22"/>
        </w:rPr>
        <w:t>tamento per i pazienti COVID-19.</w:t>
      </w:r>
      <w:r w:rsidRPr="009957E4">
        <w:rPr>
          <w:rStyle w:val="tlid-translation"/>
          <w:rFonts w:ascii="Arial" w:eastAsia="Times New Roman" w:hAnsi="Arial" w:cs="Arial"/>
          <w:b/>
          <w:sz w:val="22"/>
          <w:szCs w:val="22"/>
        </w:rPr>
        <w:t>"</w:t>
      </w:r>
    </w:p>
    <w:p w14:paraId="1403064F" w14:textId="77777777" w:rsidR="006D2670" w:rsidRPr="00AC4196" w:rsidRDefault="006D2670" w:rsidP="006D2670">
      <w:pPr>
        <w:pStyle w:val="Default"/>
        <w:rPr>
          <w:rFonts w:ascii="Arial" w:hAnsi="Arial" w:cs="Tahoma"/>
          <w:sz w:val="22"/>
          <w:szCs w:val="22"/>
        </w:rPr>
      </w:pPr>
    </w:p>
    <w:p w14:paraId="0494D906" w14:textId="4DDE8173" w:rsidR="006D2670" w:rsidRDefault="0091658A" w:rsidP="00D90D1B">
      <w:pPr>
        <w:pStyle w:val="Default"/>
        <w:jc w:val="both"/>
        <w:rPr>
          <w:rStyle w:val="tlid-translation"/>
          <w:rFonts w:ascii="Arial" w:eastAsia="Times New Roman" w:hAnsi="Arial" w:cs="Arial"/>
          <w:sz w:val="22"/>
          <w:szCs w:val="22"/>
        </w:rPr>
      </w:pP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AQCH, sviluppato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originariamente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per la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febbre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dengue,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>nel corso degli studi in-vitro, h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a mostrato un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>notevole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effetto antivirale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>ed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è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pertanto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stato testato come una potenziale opzione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per il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trattamento 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>del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COVID-19. Dal 2016, Sun Pharma lavora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>in stretta collaborazione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con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il Dipartimento delle Biotecnologie del Governo Indiano (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>DBT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>),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>con</w:t>
      </w:r>
      <w:r w:rsidR="00D6346B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</w:t>
      </w:r>
      <w:r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>ICGEB</w:t>
      </w:r>
      <w:r w:rsidR="00963470">
        <w:rPr>
          <w:rStyle w:val="tlid-translation"/>
          <w:rFonts w:ascii="Arial" w:eastAsia="Times New Roman" w:hAnsi="Arial" w:cs="Arial"/>
          <w:b/>
          <w:sz w:val="22"/>
          <w:szCs w:val="22"/>
        </w:rPr>
        <w:t xml:space="preserve"> </w:t>
      </w:r>
      <w:r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>India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,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in particolare con il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lastRenderedPageBreak/>
        <w:t xml:space="preserve">Gruppo di Ricerca </w:t>
      </w:r>
      <w:r w:rsidR="00963470">
        <w:rPr>
          <w:rStyle w:val="tlid-translation"/>
          <w:rFonts w:ascii="Arial" w:eastAsia="Times New Roman" w:hAnsi="Arial" w:cs="Arial"/>
          <w:sz w:val="22"/>
          <w:szCs w:val="22"/>
        </w:rPr>
        <w:t>“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>Traslational Health</w:t>
      </w:r>
      <w:r w:rsidR="00963470">
        <w:rPr>
          <w:rStyle w:val="tlid-translation"/>
          <w:rFonts w:ascii="Arial" w:eastAsia="Times New Roman" w:hAnsi="Arial" w:cs="Arial"/>
          <w:sz w:val="22"/>
          <w:szCs w:val="22"/>
        </w:rPr>
        <w:t>”</w:t>
      </w:r>
      <w:r w:rsidR="00D90D1B">
        <w:rPr>
          <w:rStyle w:val="tlid-translation"/>
          <w:rFonts w:ascii="Arial" w:eastAsia="Times New Roman" w:hAnsi="Arial" w:cs="Arial"/>
          <w:sz w:val="22"/>
          <w:szCs w:val="22"/>
        </w:rPr>
        <w:t>,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coordinato dal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</w:t>
      </w:r>
      <w:r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>Dr. Navin Khanna</w:t>
      </w:r>
      <w:r w:rsidR="00D90D1B">
        <w:rPr>
          <w:rStyle w:val="tlid-translation"/>
          <w:rFonts w:ascii="Arial" w:eastAsia="Times New Roman" w:hAnsi="Arial" w:cs="Arial"/>
          <w:b/>
          <w:sz w:val="22"/>
          <w:szCs w:val="22"/>
        </w:rPr>
        <w:t>,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nonché con l'Istituto indiano di medicina integrativa del Consiglio di ricerca scientifica e industriale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CSIR-IIIM,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>coordinato dal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 Dr. Ram Vishwakarma,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al fine di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sviluppare un </w:t>
      </w:r>
      <w:r w:rsidR="00BE7511"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 xml:space="preserve">prodotto </w:t>
      </w:r>
      <w:r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 xml:space="preserve">fitofarmaceutico per la </w:t>
      </w:r>
      <w:r w:rsidR="00BE7511"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 xml:space="preserve">febbre </w:t>
      </w:r>
      <w:r w:rsidRPr="00D90D1B">
        <w:rPr>
          <w:rStyle w:val="tlid-translation"/>
          <w:rFonts w:ascii="Arial" w:eastAsia="Times New Roman" w:hAnsi="Arial" w:cs="Arial"/>
          <w:b/>
          <w:sz w:val="22"/>
          <w:szCs w:val="22"/>
        </w:rPr>
        <w:t>dengue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. Il lavoro sulla valutazione dei farmaci di origine vegetale per il trattamento della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febbre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dengue è </w:t>
      </w:r>
      <w:r w:rsidR="00BE7511"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stato avviato 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 xml:space="preserve">nel 2007 sotto gli auspici della Task Force </w:t>
      </w:r>
      <w:r w:rsidR="00D90D1B" w:rsidRPr="00D90D1B">
        <w:rPr>
          <w:rStyle w:val="tlid-translation"/>
          <w:rFonts w:ascii="Arial" w:eastAsia="Times New Roman" w:hAnsi="Arial" w:cs="Arial"/>
          <w:sz w:val="22"/>
          <w:szCs w:val="22"/>
        </w:rPr>
        <w:t>sulle piante medicinali e aromatiche</w:t>
      </w:r>
      <w:r w:rsidRPr="00D90D1B">
        <w:rPr>
          <w:rStyle w:val="tlid-translation"/>
          <w:rFonts w:ascii="Arial" w:eastAsia="Times New Roman" w:hAnsi="Arial" w:cs="Arial"/>
          <w:sz w:val="22"/>
          <w:szCs w:val="22"/>
        </w:rPr>
        <w:t>del Dipa</w:t>
      </w:r>
      <w:r w:rsidR="00963470">
        <w:rPr>
          <w:rStyle w:val="tlid-translation"/>
          <w:rFonts w:ascii="Arial" w:eastAsia="Times New Roman" w:hAnsi="Arial" w:cs="Arial"/>
          <w:sz w:val="22"/>
          <w:szCs w:val="22"/>
        </w:rPr>
        <w:t>rtimento di biotecnologie (DBT).</w:t>
      </w:r>
    </w:p>
    <w:p w14:paraId="1C218B02" w14:textId="77777777" w:rsidR="00963470" w:rsidRDefault="00963470" w:rsidP="00D90D1B">
      <w:pPr>
        <w:pStyle w:val="Default"/>
        <w:jc w:val="both"/>
        <w:rPr>
          <w:rStyle w:val="tlid-translation"/>
          <w:rFonts w:ascii="Arial" w:eastAsia="Times New Roman" w:hAnsi="Arial" w:cs="Arial"/>
          <w:sz w:val="22"/>
          <w:szCs w:val="22"/>
        </w:rPr>
      </w:pPr>
    </w:p>
    <w:p w14:paraId="6C18FBAE" w14:textId="6D5C293A" w:rsidR="00963470" w:rsidRPr="00963470" w:rsidRDefault="00963470" w:rsidP="00963470">
      <w:pPr>
        <w:jc w:val="both"/>
        <w:rPr>
          <w:rStyle w:val="tlid-translation"/>
          <w:rFonts w:ascii="Arial" w:eastAsia="Calibri" w:hAnsi="Arial" w:cs="Arial"/>
          <w:color w:val="000000"/>
          <w:sz w:val="22"/>
          <w:szCs w:val="22"/>
          <w:lang w:val="it-IT" w:eastAsia="en-IN"/>
        </w:rPr>
      </w:pPr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Il </w:t>
      </w:r>
      <w:proofErr w:type="gramStart"/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Dr.</w:t>
      </w:r>
      <w:proofErr w:type="gramEnd"/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Lawrence </w:t>
      </w:r>
      <w:proofErr w:type="spellStart"/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Banks</w:t>
      </w:r>
      <w:proofErr w:type="spellEnd"/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, direttore generale dell'ICGEB</w:t>
      </w:r>
      <w:r w:rsidRPr="008462B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, </w:t>
      </w:r>
      <w:r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aggiunge</w:t>
      </w:r>
      <w:r w:rsidRPr="008462B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“l'ICGEB è felicissimo di questa entusiasmante evoluzione. La </w:t>
      </w:r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collaborazione tra ICGEB New Delhi</w:t>
      </w:r>
      <w:r w:rsidRPr="008462B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e, più recentemente, </w:t>
      </w:r>
      <w:r w:rsidRPr="008462B9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ICGEB Trieste</w:t>
      </w:r>
      <w:r w:rsidRPr="008462B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, </w:t>
      </w:r>
      <w:r w:rsidRP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con </w:t>
      </w:r>
      <w:proofErr w:type="spellStart"/>
      <w:r w:rsidRP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>Sun</w:t>
      </w:r>
      <w:proofErr w:type="spellEnd"/>
      <w:r w:rsidRPr="00963470">
        <w:rPr>
          <w:rStyle w:val="tlid-translation"/>
          <w:rFonts w:ascii="Arial" w:eastAsia="Times New Roman" w:hAnsi="Arial" w:cs="Arial"/>
          <w:b/>
          <w:sz w:val="22"/>
          <w:szCs w:val="22"/>
          <w:lang w:val="it-IT"/>
        </w:rPr>
        <w:t xml:space="preserve"> Pharma</w:t>
      </w:r>
      <w:r w:rsidRPr="008462B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è un meraviglioso esempio di come la scienza d’avanguardia possa incidere direttamente nel miglioramento della vita delle persone in tutto il mondo. La prontezza con cui ICGEB è stata in grado di contribuire alla risposta globale alla pandemia riflette la forza della nostra scienza e la nostra versatilità. Siamo orgogliosi di essere parte attiva in questo processo</w:t>
      </w:r>
      <w:r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.</w:t>
      </w:r>
      <w:proofErr w:type="gramStart"/>
      <w:r w:rsidRPr="008462B9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"</w:t>
      </w:r>
      <w:proofErr w:type="gramEnd"/>
    </w:p>
    <w:p w14:paraId="272522ED" w14:textId="77777777" w:rsidR="00927F5B" w:rsidRDefault="00927F5B" w:rsidP="006D2670">
      <w:pPr>
        <w:jc w:val="both"/>
        <w:rPr>
          <w:rStyle w:val="tlid-translation"/>
          <w:rFonts w:ascii="Arial" w:eastAsia="Times New Roman" w:hAnsi="Arial" w:cs="Arial"/>
          <w:sz w:val="22"/>
          <w:szCs w:val="22"/>
          <w:lang w:val="it-IT"/>
        </w:rPr>
      </w:pPr>
    </w:p>
    <w:p w14:paraId="5827E3AA" w14:textId="26E8C3BC" w:rsidR="0091658A" w:rsidRPr="00927F5B" w:rsidRDefault="00EE6F3A" w:rsidP="006D2670">
      <w:pPr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Il 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Dott. </w:t>
      </w:r>
      <w:proofErr w:type="spellStart"/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Renu</w:t>
      </w:r>
      <w:proofErr w:type="spellEnd"/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proofErr w:type="spellStart"/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Swarup</w:t>
      </w:r>
      <w:proofErr w:type="spellEnd"/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, Segretario de</w:t>
      </w:r>
      <w:r w:rsidR="00B40C2D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l Dipartimento </w:t>
      </w:r>
      <w:r w:rsidR="00927F5B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delle</w:t>
      </w:r>
      <w:r w:rsidR="00B40C2D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Biotecnologie del</w:t>
      </w:r>
      <w:r w:rsidR="00970233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Ministero </w:t>
      </w:r>
      <w:r w:rsidR="00B40C2D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Indiano 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della Scienza e della Tecnologia, ha dichiarato: "I nostri sforzi per sviluppare un farmaco sicuro, efficace ed economico contro la </w:t>
      </w:r>
      <w:r w:rsidR="00B40C2D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febbre </w:t>
      </w:r>
      <w:r w:rsidR="00963470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dengue sono iniziati circa </w:t>
      </w:r>
      <w:proofErr w:type="gramStart"/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13</w:t>
      </w:r>
      <w:proofErr w:type="gramEnd"/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anni fa. </w:t>
      </w:r>
      <w:r w:rsidR="00927F5B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La squadra che sta collaborando alla realizzazione di questo progetto</w:t>
      </w:r>
      <w:r w:rsidR="00970233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="00927F5B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è stata</w:t>
      </w:r>
      <w:r w:rsidR="00970233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in grado di avviare rapidamente gli 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studi per lo sviluppo di un farmaco contro </w:t>
      </w:r>
      <w:r w:rsidR="00970233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il 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COVID-19. Auguro </w:t>
      </w:r>
      <w:r w:rsidR="00970233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a questo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team il </w:t>
      </w:r>
      <w:r w:rsidR="00927F5B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pieno 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successo nella sperimentazione clinica contro</w:t>
      </w:r>
      <w:r w:rsidR="00927F5B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il COVID-19 e nello sviluppo di prodotti fitofarmaceutici</w:t>
      </w:r>
      <w:r w:rsidR="0091658A" w:rsidRPr="00927F5B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contro altre malattie infettive.</w:t>
      </w:r>
    </w:p>
    <w:p w14:paraId="1E7DAC74" w14:textId="77777777" w:rsidR="00EE6F3A" w:rsidRPr="00EE6F3A" w:rsidRDefault="00EE6F3A" w:rsidP="006F2B28">
      <w:pPr>
        <w:jc w:val="both"/>
        <w:rPr>
          <w:rFonts w:ascii="Arial" w:eastAsia="Calibri" w:hAnsi="Arial" w:cs="Arial"/>
          <w:color w:val="000000"/>
          <w:sz w:val="22"/>
          <w:szCs w:val="22"/>
          <w:lang w:val="it-IT" w:eastAsia="en-IN"/>
        </w:rPr>
      </w:pPr>
    </w:p>
    <w:p w14:paraId="5394D0D8" w14:textId="42DC52DC" w:rsidR="0091658A" w:rsidRPr="00EE6F3A" w:rsidRDefault="0091658A" w:rsidP="006F2B28">
      <w:pPr>
        <w:jc w:val="both"/>
        <w:rPr>
          <w:rFonts w:ascii="Arial" w:eastAsia="Times New Roman" w:hAnsi="Arial" w:cs="Arial"/>
          <w:color w:val="000000"/>
          <w:sz w:val="22"/>
          <w:szCs w:val="22"/>
          <w:lang w:val="it-IT"/>
        </w:rPr>
      </w:pPr>
      <w:proofErr w:type="gramStart"/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Il dott. </w:t>
      </w:r>
      <w:proofErr w:type="spellStart"/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Shekhar</w:t>
      </w:r>
      <w:proofErr w:type="spellEnd"/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C</w:t>
      </w:r>
      <w:r w:rsidR="00BF6173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. Mande, direttore generale del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="00EE6F3A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Consiglio di ricerca scientifica e industriale - 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CSIR</w:t>
      </w:r>
      <w:r w:rsidR="0024563F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,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ha commentato</w:t>
      </w:r>
      <w:r w:rsidR="00592FD2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“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CSIR ha </w:t>
      </w:r>
      <w:r w:rsidR="00BF6173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un sodalizio 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di lunga data con l'industria farmaceutica in India e </w:t>
      </w:r>
      <w:r w:rsidR="00C50DA1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siamo molto compiaciuti per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questa collaborazione con </w:t>
      </w:r>
      <w:proofErr w:type="spellStart"/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Sun</w:t>
      </w:r>
      <w:proofErr w:type="spellEnd"/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Pharma </w:t>
      </w:r>
      <w:r w:rsidR="0024563F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che ha permesso di portare</w:t>
      </w:r>
      <w:r w:rsidR="00C50DA1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AQCH </w:t>
      </w:r>
      <w:r w:rsidR="0024563F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alla sperimentazione clinica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per pazienti COVID-19</w:t>
      </w:r>
      <w:proofErr w:type="gramEnd"/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. Questa collaborazione </w:t>
      </w:r>
      <w:r w:rsidR="00592FD2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è perfettamente in linea con la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nostra </w:t>
      </w:r>
      <w:r w:rsidR="00592FD2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motivazione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scientifica </w:t>
      </w:r>
      <w:r w:rsidR="00592FD2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di sviluppare nel </w:t>
      </w:r>
      <w:r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modo più rapido </w:t>
      </w:r>
      <w:r w:rsidR="00592FD2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possibile</w:t>
      </w:r>
      <w:r w:rsidR="0024563F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 xml:space="preserve"> farmaci contro la SARS-CoV-2</w:t>
      </w:r>
      <w:r w:rsidR="00592FD2" w:rsidRPr="00EE6F3A">
        <w:rPr>
          <w:rStyle w:val="tlid-translation"/>
          <w:rFonts w:ascii="Arial" w:eastAsia="Times New Roman" w:hAnsi="Arial" w:cs="Arial"/>
          <w:sz w:val="22"/>
          <w:szCs w:val="22"/>
          <w:lang w:val="it-IT"/>
        </w:rPr>
        <w:t>”.</w:t>
      </w:r>
    </w:p>
    <w:p w14:paraId="5AC9522D" w14:textId="77777777" w:rsidR="006F2B28" w:rsidRDefault="006F2B28" w:rsidP="006F2B28">
      <w:pPr>
        <w:jc w:val="both"/>
        <w:rPr>
          <w:rFonts w:ascii="Arial" w:eastAsia="Times New Roman" w:hAnsi="Arial" w:cs="Arial"/>
          <w:color w:val="000000"/>
        </w:rPr>
      </w:pPr>
    </w:p>
    <w:p w14:paraId="7862628F" w14:textId="77777777" w:rsidR="006F2B28" w:rsidRDefault="006F2B28" w:rsidP="006F2B28">
      <w:pPr>
        <w:jc w:val="both"/>
        <w:rPr>
          <w:rFonts w:ascii="Arial" w:eastAsia="Times New Roman" w:hAnsi="Arial" w:cs="Arial"/>
          <w:color w:val="000000"/>
        </w:rPr>
      </w:pPr>
    </w:p>
    <w:p w14:paraId="32F180E6" w14:textId="77777777" w:rsidR="006F2B28" w:rsidRDefault="006F2B28" w:rsidP="006F2B28">
      <w:pPr>
        <w:jc w:val="both"/>
        <w:rPr>
          <w:rFonts w:ascii="Arial" w:eastAsia="Times New Roman" w:hAnsi="Arial" w:cs="Arial"/>
          <w:color w:val="000000"/>
        </w:rPr>
      </w:pPr>
    </w:p>
    <w:p w14:paraId="75EACB9F" w14:textId="77777777" w:rsidR="006F2B28" w:rsidRDefault="006F2B28" w:rsidP="006F2B28">
      <w:pPr>
        <w:jc w:val="both"/>
        <w:rPr>
          <w:rFonts w:ascii="Arial" w:eastAsia="Times New Roman" w:hAnsi="Arial" w:cs="Arial"/>
          <w:color w:val="000000"/>
        </w:rPr>
      </w:pPr>
    </w:p>
    <w:p w14:paraId="4B928B52" w14:textId="77777777" w:rsidR="006F2B28" w:rsidRDefault="006F2B28" w:rsidP="006F2B28">
      <w:pPr>
        <w:jc w:val="both"/>
        <w:rPr>
          <w:rFonts w:ascii="Arial" w:eastAsia="Times New Roman" w:hAnsi="Arial" w:cs="Arial"/>
          <w:color w:val="000000"/>
        </w:rPr>
      </w:pPr>
    </w:p>
    <w:p w14:paraId="4FF7ACAB" w14:textId="77777777" w:rsidR="006F2B28" w:rsidRDefault="006F2B28" w:rsidP="006F2B28">
      <w:pPr>
        <w:jc w:val="both"/>
        <w:rPr>
          <w:rFonts w:ascii="Arial" w:eastAsia="Times New Roman" w:hAnsi="Arial" w:cs="Arial"/>
          <w:color w:val="000000"/>
        </w:rPr>
      </w:pPr>
    </w:p>
    <w:p w14:paraId="6BA7FAD4" w14:textId="77777777" w:rsidR="006F2B28" w:rsidRPr="006F2B28" w:rsidRDefault="006F2B28" w:rsidP="006F2B28">
      <w:pPr>
        <w:jc w:val="both"/>
        <w:rPr>
          <w:rFonts w:ascii="Arial" w:eastAsia="Times New Roman" w:hAnsi="Arial" w:cs="Arial"/>
          <w:lang w:val="it-IT" w:eastAsia="it-IT"/>
        </w:rPr>
      </w:pPr>
    </w:p>
    <w:p w14:paraId="49F899A1" w14:textId="77777777" w:rsidR="001A2C8A" w:rsidRDefault="001A2C8A" w:rsidP="00F870B6">
      <w:pPr>
        <w:rPr>
          <w:rFonts w:ascii="Arial" w:eastAsia="Times New Roman" w:hAnsi="Arial" w:cs="Arial"/>
          <w:color w:val="000000"/>
        </w:rPr>
      </w:pPr>
    </w:p>
    <w:p w14:paraId="37FD3E2F" w14:textId="77777777" w:rsidR="0034091A" w:rsidRPr="00395A84" w:rsidRDefault="0034091A" w:rsidP="0034091A">
      <w:pPr>
        <w:pBdr>
          <w:bottom w:val="single" w:sz="12" w:space="1" w:color="auto"/>
        </w:pBdr>
        <w:rPr>
          <w:rFonts w:ascii="Arial" w:eastAsia="Times New Roman" w:hAnsi="Arial" w:cs="Arial"/>
          <w:color w:val="000000"/>
        </w:rPr>
      </w:pPr>
    </w:p>
    <w:p w14:paraId="023F68B2" w14:textId="77777777" w:rsidR="00354011" w:rsidRPr="00395A84" w:rsidRDefault="00354011" w:rsidP="0034091A">
      <w:pPr>
        <w:rPr>
          <w:rFonts w:ascii="Arial" w:eastAsia="Times New Roman" w:hAnsi="Arial" w:cs="Arial"/>
          <w:color w:val="000000"/>
        </w:rPr>
      </w:pPr>
    </w:p>
    <w:p w14:paraId="14955C68" w14:textId="77777777" w:rsidR="0034091A" w:rsidRPr="00DA5386" w:rsidRDefault="0034091A" w:rsidP="0034091A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DA5386">
        <w:rPr>
          <w:rFonts w:ascii="Arial" w:eastAsia="Times New Roman" w:hAnsi="Arial" w:cs="Arial"/>
          <w:color w:val="000000"/>
          <w:sz w:val="20"/>
          <w:szCs w:val="20"/>
        </w:rPr>
        <w:t>Press contact: Suzanne Kerbavcic, ICGEB Communications, Public Information and Outreach</w:t>
      </w:r>
    </w:p>
    <w:p w14:paraId="4106B99A" w14:textId="77777777" w:rsidR="0034091A" w:rsidRPr="00DA5386" w:rsidRDefault="0034091A" w:rsidP="0034091A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DA5386">
        <w:rPr>
          <w:rFonts w:ascii="Arial" w:eastAsia="Times New Roman" w:hAnsi="Arial" w:cs="Arial"/>
          <w:color w:val="000000"/>
          <w:sz w:val="20"/>
          <w:szCs w:val="20"/>
        </w:rPr>
        <w:t>Tel: +39-3405971692</w:t>
      </w:r>
    </w:p>
    <w:p w14:paraId="159A81A7" w14:textId="55A02178" w:rsidR="0034091A" w:rsidRPr="00DA5386" w:rsidRDefault="0034091A" w:rsidP="0034091A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DA5386">
        <w:rPr>
          <w:rFonts w:ascii="Arial" w:eastAsia="Times New Roman" w:hAnsi="Arial" w:cs="Arial"/>
          <w:color w:val="000000"/>
          <w:sz w:val="20"/>
          <w:szCs w:val="20"/>
        </w:rPr>
        <w:t>Email: kerbav@icgeb.org, press@icgeb.org</w:t>
      </w:r>
    </w:p>
    <w:p w14:paraId="30E0A67D" w14:textId="77777777" w:rsidR="0034091A" w:rsidRPr="00395A84" w:rsidRDefault="0034091A" w:rsidP="00F870B6">
      <w:pPr>
        <w:rPr>
          <w:rFonts w:ascii="Arial" w:eastAsia="Times New Roman" w:hAnsi="Arial" w:cs="Arial"/>
          <w:color w:val="000000"/>
        </w:rPr>
      </w:pPr>
    </w:p>
    <w:sectPr w:rsidR="0034091A" w:rsidRPr="00395A84" w:rsidSect="00F870B6">
      <w:footerReference w:type="default" r:id="rId8"/>
      <w:headerReference w:type="first" r:id="rId9"/>
      <w:pgSz w:w="11900" w:h="16840"/>
      <w:pgMar w:top="1138" w:right="1138" w:bottom="1138" w:left="113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26F7F8" w14:textId="77777777" w:rsidR="0044528D" w:rsidRDefault="0044528D" w:rsidP="00010A5A">
      <w:r>
        <w:separator/>
      </w:r>
    </w:p>
  </w:endnote>
  <w:endnote w:type="continuationSeparator" w:id="0">
    <w:p w14:paraId="53948586" w14:textId="77777777" w:rsidR="0044528D" w:rsidRDefault="0044528D" w:rsidP="00010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1DDF1" w14:textId="01578783" w:rsidR="0044528D" w:rsidRPr="00652D04" w:rsidRDefault="0044528D" w:rsidP="00652D04">
    <w:pPr>
      <w:pStyle w:val="Footer"/>
    </w:pPr>
    <w:r>
      <w:rPr>
        <w:noProof/>
        <w:lang w:val="en-US"/>
      </w:rPr>
      <w:drawing>
        <wp:inline distT="0" distB="0" distL="0" distR="0" wp14:anchorId="29AF5C83" wp14:editId="08D8EDCC">
          <wp:extent cx="6111240" cy="786276"/>
          <wp:effectExtent l="0" t="0" r="10160" b="1270"/>
          <wp:docPr id="1" name="Picture 1" descr="Bottom ICGEB 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ICGEB 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78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14CAD8" w14:textId="77777777" w:rsidR="0044528D" w:rsidRDefault="0044528D" w:rsidP="00010A5A">
      <w:r>
        <w:separator/>
      </w:r>
    </w:p>
  </w:footnote>
  <w:footnote w:type="continuationSeparator" w:id="0">
    <w:p w14:paraId="23392FA4" w14:textId="77777777" w:rsidR="0044528D" w:rsidRDefault="0044528D" w:rsidP="00010A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A80BE" w14:textId="0C381D8B" w:rsidR="0044528D" w:rsidRDefault="0044528D" w:rsidP="00F870B6">
    <w:pPr>
      <w:pStyle w:val="Header"/>
      <w:tabs>
        <w:tab w:val="clear" w:pos="4320"/>
        <w:tab w:val="clear" w:pos="8640"/>
        <w:tab w:val="left" w:pos="4035"/>
      </w:tabs>
    </w:pPr>
    <w:r>
      <w:rPr>
        <w:noProof/>
        <w:lang w:val="en-US"/>
      </w:rPr>
      <w:drawing>
        <wp:inline distT="0" distB="0" distL="0" distR="0" wp14:anchorId="245BEDC4" wp14:editId="6A925E4A">
          <wp:extent cx="6090285" cy="857250"/>
          <wp:effectExtent l="0" t="0" r="5715" b="6350"/>
          <wp:docPr id="5" name="Picture 5" descr="Macintosh HD:Users:prata:Documents:MARELLA:PROGETTI GRAFICA ICGEB:LOGHI:ICGEB LOGOS 2017:ICGEB logo 2017:ICGEB logo 2020:ICGEB logo senza develop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rata:Documents:MARELLA:PROGETTI GRAFICA ICGEB:LOGHI:ICGEB LOGOS 2017:ICGEB logo 2017:ICGEB logo 2020:ICGEB logo senza develop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28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noProof/>
        <w:lang w:val="en-US"/>
      </w:rPr>
      <w:drawing>
        <wp:inline distT="0" distB="0" distL="0" distR="0" wp14:anchorId="591E6FB6" wp14:editId="7C2285F9">
          <wp:extent cx="6106795" cy="1232535"/>
          <wp:effectExtent l="0" t="0" r="0" b="12065"/>
          <wp:docPr id="3" name="Picture 3" descr="Macintosh HD:Users:prata:Documents:MARELLA:PROGETTI GRAFICA ICGEB:LOGHI:LOGO COVID19 Marcello:Covid page:Screenshot 2020-03-31 at 13.31.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rata:Documents:MARELLA:PROGETTI GRAFICA ICGEB:LOGHI:LOGO COVID19 Marcello:Covid page:Screenshot 2020-03-31 at 13.31.5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6795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63006"/>
    <w:multiLevelType w:val="hybridMultilevel"/>
    <w:tmpl w:val="AEA80D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94"/>
    <w:rsid w:val="00010A5A"/>
    <w:rsid w:val="000343F3"/>
    <w:rsid w:val="00081E68"/>
    <w:rsid w:val="00090CD7"/>
    <w:rsid w:val="000A0935"/>
    <w:rsid w:val="000A3B73"/>
    <w:rsid w:val="000C7426"/>
    <w:rsid w:val="000D7300"/>
    <w:rsid w:val="000E4812"/>
    <w:rsid w:val="000F7C20"/>
    <w:rsid w:val="001027B8"/>
    <w:rsid w:val="001079EC"/>
    <w:rsid w:val="00135AA0"/>
    <w:rsid w:val="001374CD"/>
    <w:rsid w:val="00162F16"/>
    <w:rsid w:val="00164D51"/>
    <w:rsid w:val="00170002"/>
    <w:rsid w:val="001A2C8A"/>
    <w:rsid w:val="001B226C"/>
    <w:rsid w:val="001E68E3"/>
    <w:rsid w:val="001F7E94"/>
    <w:rsid w:val="00216A9A"/>
    <w:rsid w:val="0024563F"/>
    <w:rsid w:val="00254064"/>
    <w:rsid w:val="00274B4C"/>
    <w:rsid w:val="002757BB"/>
    <w:rsid w:val="0029094F"/>
    <w:rsid w:val="0029390B"/>
    <w:rsid w:val="002958ED"/>
    <w:rsid w:val="002F04B6"/>
    <w:rsid w:val="0030218E"/>
    <w:rsid w:val="003029E0"/>
    <w:rsid w:val="00303C8B"/>
    <w:rsid w:val="00306BE2"/>
    <w:rsid w:val="0034091A"/>
    <w:rsid w:val="00340AC2"/>
    <w:rsid w:val="00354011"/>
    <w:rsid w:val="003569B9"/>
    <w:rsid w:val="00395A84"/>
    <w:rsid w:val="003B39FC"/>
    <w:rsid w:val="003C37C5"/>
    <w:rsid w:val="003D70CD"/>
    <w:rsid w:val="004048DA"/>
    <w:rsid w:val="00405F43"/>
    <w:rsid w:val="00417F7D"/>
    <w:rsid w:val="0042584C"/>
    <w:rsid w:val="00432ED5"/>
    <w:rsid w:val="004428EF"/>
    <w:rsid w:val="0044528D"/>
    <w:rsid w:val="0045123C"/>
    <w:rsid w:val="004930D8"/>
    <w:rsid w:val="004A31C4"/>
    <w:rsid w:val="00507A50"/>
    <w:rsid w:val="00517D5F"/>
    <w:rsid w:val="005375E0"/>
    <w:rsid w:val="00540740"/>
    <w:rsid w:val="005529D9"/>
    <w:rsid w:val="00552B93"/>
    <w:rsid w:val="0055422B"/>
    <w:rsid w:val="00554B91"/>
    <w:rsid w:val="00582BBD"/>
    <w:rsid w:val="00592FD2"/>
    <w:rsid w:val="005A3956"/>
    <w:rsid w:val="005A7EE5"/>
    <w:rsid w:val="005B122E"/>
    <w:rsid w:val="005B6EFC"/>
    <w:rsid w:val="005D1F71"/>
    <w:rsid w:val="005E668E"/>
    <w:rsid w:val="005F5B31"/>
    <w:rsid w:val="00611E9F"/>
    <w:rsid w:val="00647964"/>
    <w:rsid w:val="00652D04"/>
    <w:rsid w:val="006A3ED9"/>
    <w:rsid w:val="006A4C0E"/>
    <w:rsid w:val="006D1340"/>
    <w:rsid w:val="006D2670"/>
    <w:rsid w:val="006D57B1"/>
    <w:rsid w:val="006E51B4"/>
    <w:rsid w:val="006F2B28"/>
    <w:rsid w:val="00713924"/>
    <w:rsid w:val="007327CF"/>
    <w:rsid w:val="0073410C"/>
    <w:rsid w:val="00734D01"/>
    <w:rsid w:val="00773B55"/>
    <w:rsid w:val="007B271A"/>
    <w:rsid w:val="007C672C"/>
    <w:rsid w:val="007F1B42"/>
    <w:rsid w:val="007F790C"/>
    <w:rsid w:val="00805240"/>
    <w:rsid w:val="0080784B"/>
    <w:rsid w:val="00810191"/>
    <w:rsid w:val="008120AA"/>
    <w:rsid w:val="00816EBB"/>
    <w:rsid w:val="00821D45"/>
    <w:rsid w:val="008462B9"/>
    <w:rsid w:val="00850AAC"/>
    <w:rsid w:val="00861E6B"/>
    <w:rsid w:val="0091658A"/>
    <w:rsid w:val="00927F5B"/>
    <w:rsid w:val="00963470"/>
    <w:rsid w:val="009664EF"/>
    <w:rsid w:val="00970233"/>
    <w:rsid w:val="0097446C"/>
    <w:rsid w:val="00977814"/>
    <w:rsid w:val="00983D3A"/>
    <w:rsid w:val="009930D3"/>
    <w:rsid w:val="009957E4"/>
    <w:rsid w:val="009E03CE"/>
    <w:rsid w:val="00A17890"/>
    <w:rsid w:val="00A72D8E"/>
    <w:rsid w:val="00AA16FE"/>
    <w:rsid w:val="00AC4196"/>
    <w:rsid w:val="00AD5D55"/>
    <w:rsid w:val="00B00FF0"/>
    <w:rsid w:val="00B01932"/>
    <w:rsid w:val="00B40C2D"/>
    <w:rsid w:val="00B737A8"/>
    <w:rsid w:val="00B92FEC"/>
    <w:rsid w:val="00BA6AF7"/>
    <w:rsid w:val="00BC7402"/>
    <w:rsid w:val="00BE3B0E"/>
    <w:rsid w:val="00BE7511"/>
    <w:rsid w:val="00BF6173"/>
    <w:rsid w:val="00C451E8"/>
    <w:rsid w:val="00C50DA1"/>
    <w:rsid w:val="00CA75AF"/>
    <w:rsid w:val="00CB246D"/>
    <w:rsid w:val="00D1386D"/>
    <w:rsid w:val="00D25F30"/>
    <w:rsid w:val="00D34FFA"/>
    <w:rsid w:val="00D5472F"/>
    <w:rsid w:val="00D6031E"/>
    <w:rsid w:val="00D6346B"/>
    <w:rsid w:val="00D677F5"/>
    <w:rsid w:val="00D90D1B"/>
    <w:rsid w:val="00D93A29"/>
    <w:rsid w:val="00DA5386"/>
    <w:rsid w:val="00DC1798"/>
    <w:rsid w:val="00DC2C9D"/>
    <w:rsid w:val="00DF4206"/>
    <w:rsid w:val="00DF60EB"/>
    <w:rsid w:val="00E006C8"/>
    <w:rsid w:val="00E10195"/>
    <w:rsid w:val="00E24A1C"/>
    <w:rsid w:val="00E54CFA"/>
    <w:rsid w:val="00E55143"/>
    <w:rsid w:val="00E61AEE"/>
    <w:rsid w:val="00E66BB0"/>
    <w:rsid w:val="00E870D9"/>
    <w:rsid w:val="00E97852"/>
    <w:rsid w:val="00EA54F5"/>
    <w:rsid w:val="00EA5F25"/>
    <w:rsid w:val="00EB660C"/>
    <w:rsid w:val="00EB6709"/>
    <w:rsid w:val="00ED2221"/>
    <w:rsid w:val="00EE6F3A"/>
    <w:rsid w:val="00F206FC"/>
    <w:rsid w:val="00F20BAF"/>
    <w:rsid w:val="00F30FE1"/>
    <w:rsid w:val="00F3631A"/>
    <w:rsid w:val="00F62E76"/>
    <w:rsid w:val="00F82F55"/>
    <w:rsid w:val="00F870B6"/>
    <w:rsid w:val="00F92A34"/>
    <w:rsid w:val="00F94130"/>
    <w:rsid w:val="00F96AF7"/>
    <w:rsid w:val="00FB153D"/>
    <w:rsid w:val="00FC350F"/>
    <w:rsid w:val="00FD275F"/>
    <w:rsid w:val="00FE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D7D90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05F4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9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4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E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A5A"/>
  </w:style>
  <w:style w:type="paragraph" w:styleId="Footer">
    <w:name w:val="footer"/>
    <w:basedOn w:val="Normal"/>
    <w:link w:val="Foot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A5A"/>
  </w:style>
  <w:style w:type="character" w:customStyle="1" w:styleId="apple-converted-space">
    <w:name w:val="apple-converted-space"/>
    <w:basedOn w:val="DefaultParagraphFont"/>
    <w:rsid w:val="000A3B73"/>
  </w:style>
  <w:style w:type="character" w:styleId="CommentReference">
    <w:name w:val="annotation reference"/>
    <w:basedOn w:val="DefaultParagraphFont"/>
    <w:uiPriority w:val="99"/>
    <w:semiHidden/>
    <w:unhideWhenUsed/>
    <w:rsid w:val="00582B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B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BD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05F4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5F43"/>
    <w:rPr>
      <w:rFonts w:ascii="Times" w:hAnsi="Times"/>
      <w:b/>
      <w:bCs/>
      <w:kern w:val="36"/>
      <w:sz w:val="48"/>
      <w:szCs w:val="4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F43"/>
    <w:rPr>
      <w:color w:val="954F72" w:themeColor="followedHyperlink"/>
      <w:u w:val="single"/>
    </w:rPr>
  </w:style>
  <w:style w:type="paragraph" w:customStyle="1" w:styleId="intro">
    <w:name w:val="intro"/>
    <w:basedOn w:val="Normal"/>
    <w:rsid w:val="00EB660C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72D8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customStyle="1" w:styleId="figcaption">
    <w:name w:val="figcaption"/>
    <w:basedOn w:val="DefaultParagraphFont"/>
    <w:rsid w:val="000A0935"/>
  </w:style>
  <w:style w:type="character" w:customStyle="1" w:styleId="tlid-translation">
    <w:name w:val="tlid-translation"/>
    <w:basedOn w:val="DefaultParagraphFont"/>
    <w:rsid w:val="00BE3B0E"/>
  </w:style>
  <w:style w:type="character" w:customStyle="1" w:styleId="Heading3Char">
    <w:name w:val="Heading 3 Char"/>
    <w:basedOn w:val="DefaultParagraphFont"/>
    <w:link w:val="Heading3"/>
    <w:uiPriority w:val="9"/>
    <w:semiHidden/>
    <w:rsid w:val="0029390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6D267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IN"/>
    </w:rPr>
  </w:style>
  <w:style w:type="paragraph" w:customStyle="1" w:styleId="Default">
    <w:name w:val="Default"/>
    <w:rsid w:val="006D2670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en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05F4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9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4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E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A5A"/>
  </w:style>
  <w:style w:type="paragraph" w:styleId="Footer">
    <w:name w:val="footer"/>
    <w:basedOn w:val="Normal"/>
    <w:link w:val="Foot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A5A"/>
  </w:style>
  <w:style w:type="character" w:customStyle="1" w:styleId="apple-converted-space">
    <w:name w:val="apple-converted-space"/>
    <w:basedOn w:val="DefaultParagraphFont"/>
    <w:rsid w:val="000A3B73"/>
  </w:style>
  <w:style w:type="character" w:styleId="CommentReference">
    <w:name w:val="annotation reference"/>
    <w:basedOn w:val="DefaultParagraphFont"/>
    <w:uiPriority w:val="99"/>
    <w:semiHidden/>
    <w:unhideWhenUsed/>
    <w:rsid w:val="00582B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B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BD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05F4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5F43"/>
    <w:rPr>
      <w:rFonts w:ascii="Times" w:hAnsi="Times"/>
      <w:b/>
      <w:bCs/>
      <w:kern w:val="36"/>
      <w:sz w:val="48"/>
      <w:szCs w:val="4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F43"/>
    <w:rPr>
      <w:color w:val="954F72" w:themeColor="followedHyperlink"/>
      <w:u w:val="single"/>
    </w:rPr>
  </w:style>
  <w:style w:type="paragraph" w:customStyle="1" w:styleId="intro">
    <w:name w:val="intro"/>
    <w:basedOn w:val="Normal"/>
    <w:rsid w:val="00EB660C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72D8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customStyle="1" w:styleId="figcaption">
    <w:name w:val="figcaption"/>
    <w:basedOn w:val="DefaultParagraphFont"/>
    <w:rsid w:val="000A0935"/>
  </w:style>
  <w:style w:type="character" w:customStyle="1" w:styleId="tlid-translation">
    <w:name w:val="tlid-translation"/>
    <w:basedOn w:val="DefaultParagraphFont"/>
    <w:rsid w:val="00BE3B0E"/>
  </w:style>
  <w:style w:type="character" w:customStyle="1" w:styleId="Heading3Char">
    <w:name w:val="Heading 3 Char"/>
    <w:basedOn w:val="DefaultParagraphFont"/>
    <w:link w:val="Heading3"/>
    <w:uiPriority w:val="9"/>
    <w:semiHidden/>
    <w:rsid w:val="0029390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6D267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IN"/>
    </w:rPr>
  </w:style>
  <w:style w:type="paragraph" w:customStyle="1" w:styleId="Default">
    <w:name w:val="Default"/>
    <w:rsid w:val="006D2670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4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864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1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043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761</Words>
  <Characters>4343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viviani</dc:creator>
  <cp:keywords/>
  <dc:description/>
  <cp:lastModifiedBy>Suzanne Kerbavcic</cp:lastModifiedBy>
  <cp:revision>3</cp:revision>
  <cp:lastPrinted>2020-04-02T17:12:00Z</cp:lastPrinted>
  <dcterms:created xsi:type="dcterms:W3CDTF">2020-06-08T08:50:00Z</dcterms:created>
  <dcterms:modified xsi:type="dcterms:W3CDTF">2020-06-08T08:51:00Z</dcterms:modified>
</cp:coreProperties>
</file>