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0E97" w14:textId="77777777" w:rsidR="00B87FDF" w:rsidRDefault="00B87FDF">
      <w:pPr>
        <w:rPr>
          <w:rFonts w:ascii="Arial" w:eastAsia="Arial" w:hAnsi="Arial" w:cs="Arial"/>
          <w:color w:val="000000"/>
        </w:rPr>
      </w:pPr>
    </w:p>
    <w:p w14:paraId="5DC385C1" w14:textId="77777777" w:rsidR="00B87FDF" w:rsidRDefault="00B87FDF">
      <w:pPr>
        <w:rPr>
          <w:rFonts w:ascii="Arial" w:eastAsia="Arial" w:hAnsi="Arial" w:cs="Arial"/>
          <w:b/>
          <w:color w:val="000000"/>
        </w:rPr>
      </w:pPr>
    </w:p>
    <w:p w14:paraId="0C213315" w14:textId="48CC2396" w:rsidR="00B87FDF" w:rsidRDefault="00B87FD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0B15B3B" w14:textId="77777777" w:rsidR="007C4DE2" w:rsidRDefault="007C4DE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F05E5E3" w14:textId="7347A598" w:rsidR="007C4DE2" w:rsidRPr="00876D28" w:rsidRDefault="00876D28">
      <w:pPr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 w:rsidRPr="00876D28">
        <w:rPr>
          <w:rStyle w:val="tlid-translation"/>
          <w:rFonts w:ascii="Arial" w:eastAsia="Times New Roman" w:hAnsi="Arial" w:cs="Arial"/>
          <w:b/>
          <w:lang w:val="it-IT"/>
        </w:rPr>
        <w:t>ICGEB – TWAS/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>UNESCO RAFFORZANO IL LORO PARTENARIATO</w:t>
      </w:r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Style w:val="tlid-translation"/>
          <w:rFonts w:ascii="Arial" w:eastAsia="Times New Roman" w:hAnsi="Arial" w:cs="Arial"/>
          <w:lang w:val="it-IT"/>
        </w:rPr>
        <w:t>Comunicato stampa</w:t>
      </w:r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>L'ICGEB e l'</w:t>
      </w:r>
      <w:r>
        <w:rPr>
          <w:rStyle w:val="tlid-translation"/>
          <w:rFonts w:ascii="Arial" w:eastAsia="Times New Roman" w:hAnsi="Arial" w:cs="Arial"/>
          <w:b/>
          <w:lang w:val="it-IT"/>
        </w:rPr>
        <w:t>UNESCO, attraverso l'Accademia Mondiale delle S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cienze </w:t>
      </w:r>
      <w:r>
        <w:rPr>
          <w:rStyle w:val="tlid-translation"/>
          <w:rFonts w:ascii="Arial" w:eastAsia="Times New Roman" w:hAnsi="Arial" w:cs="Arial"/>
          <w:b/>
          <w:lang w:val="it-IT"/>
        </w:rPr>
        <w:t xml:space="preserve">- 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TWAS, Italia, firmano un accordo per rafforzare </w:t>
      </w:r>
      <w:r>
        <w:rPr>
          <w:rStyle w:val="tlid-translation"/>
          <w:rFonts w:ascii="Arial" w:eastAsia="Times New Roman" w:hAnsi="Arial" w:cs="Arial"/>
          <w:b/>
          <w:lang w:val="it-IT"/>
        </w:rPr>
        <w:t xml:space="preserve">la collaborazione, rendere più incisive 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le azioni comuni e </w:t>
      </w:r>
      <w:r>
        <w:rPr>
          <w:rStyle w:val="tlid-translation"/>
          <w:rFonts w:ascii="Arial" w:eastAsia="Times New Roman" w:hAnsi="Arial" w:cs="Arial"/>
          <w:b/>
          <w:lang w:val="it-IT"/>
        </w:rPr>
        <w:t>dare impulso allo sviluppo di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 capacità nel campo delle biotecnologie e </w:t>
      </w:r>
      <w:r>
        <w:rPr>
          <w:rStyle w:val="tlid-translation"/>
          <w:rFonts w:ascii="Arial" w:eastAsia="Times New Roman" w:hAnsi="Arial" w:cs="Arial"/>
          <w:b/>
          <w:lang w:val="it-IT"/>
        </w:rPr>
        <w:t xml:space="preserve">dei 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settori </w:t>
      </w:r>
      <w:proofErr w:type="gramStart"/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>correlati</w:t>
      </w:r>
      <w:proofErr w:type="gramEnd"/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Fonts w:ascii="Arial" w:eastAsia="Times New Roman" w:hAnsi="Arial" w:cs="Arial"/>
          <w:b/>
          <w:lang w:val="it-IT"/>
        </w:rPr>
        <w:br/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Il 22 giugno 2020, </w:t>
      </w:r>
      <w:r>
        <w:rPr>
          <w:rStyle w:val="tlid-translation"/>
          <w:rFonts w:ascii="Arial" w:eastAsia="Times New Roman" w:hAnsi="Arial" w:cs="Arial"/>
          <w:b/>
          <w:lang w:val="it-IT"/>
        </w:rPr>
        <w:t xml:space="preserve">Lawrence </w:t>
      </w:r>
      <w:proofErr w:type="spellStart"/>
      <w:r>
        <w:rPr>
          <w:rStyle w:val="tlid-translation"/>
          <w:rFonts w:ascii="Arial" w:eastAsia="Times New Roman" w:hAnsi="Arial" w:cs="Arial"/>
          <w:b/>
          <w:lang w:val="it-IT"/>
        </w:rPr>
        <w:t>Banks</w:t>
      </w:r>
      <w:proofErr w:type="spellEnd"/>
      <w:r>
        <w:rPr>
          <w:rStyle w:val="tlid-translation"/>
          <w:rFonts w:ascii="Arial" w:eastAsia="Times New Roman" w:hAnsi="Arial" w:cs="Arial"/>
          <w:b/>
          <w:lang w:val="it-IT"/>
        </w:rPr>
        <w:t>, Direttore G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enerale dell'ICGEB e </w:t>
      </w:r>
      <w:proofErr w:type="spellStart"/>
      <w:r>
        <w:rPr>
          <w:rStyle w:val="tlid-translation"/>
          <w:rFonts w:ascii="Arial" w:eastAsia="Times New Roman" w:hAnsi="Arial" w:cs="Arial"/>
          <w:b/>
          <w:lang w:val="it-IT"/>
        </w:rPr>
        <w:t>Romain</w:t>
      </w:r>
      <w:proofErr w:type="spellEnd"/>
      <w:r>
        <w:rPr>
          <w:rStyle w:val="tlid-translation"/>
          <w:rFonts w:ascii="Arial" w:eastAsia="Times New Roman" w:hAnsi="Arial" w:cs="Arial"/>
          <w:b/>
          <w:lang w:val="it-IT"/>
        </w:rPr>
        <w:t xml:space="preserve"> </w:t>
      </w:r>
      <w:proofErr w:type="spellStart"/>
      <w:r>
        <w:rPr>
          <w:rStyle w:val="tlid-translation"/>
          <w:rFonts w:ascii="Arial" w:eastAsia="Times New Roman" w:hAnsi="Arial" w:cs="Arial"/>
          <w:b/>
          <w:lang w:val="it-IT"/>
        </w:rPr>
        <w:t>Murenzi</w:t>
      </w:r>
      <w:proofErr w:type="spellEnd"/>
      <w:r>
        <w:rPr>
          <w:rStyle w:val="tlid-translation"/>
          <w:rFonts w:ascii="Arial" w:eastAsia="Times New Roman" w:hAnsi="Arial" w:cs="Arial"/>
          <w:b/>
          <w:lang w:val="it-IT"/>
        </w:rPr>
        <w:t>, Direttore E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secutivo della TWAS, </w:t>
      </w:r>
      <w:proofErr w:type="gramStart"/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>firmeranno</w:t>
      </w:r>
      <w:proofErr w:type="gramEnd"/>
      <w:r>
        <w:rPr>
          <w:rStyle w:val="tlid-translation"/>
          <w:rFonts w:ascii="Arial" w:eastAsia="Times New Roman" w:hAnsi="Arial" w:cs="Arial"/>
          <w:b/>
          <w:lang w:val="it-IT"/>
        </w:rPr>
        <w:t xml:space="preserve"> a Trieste, presso la sede dell’ICGEB, il Protocollo d'I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 xml:space="preserve">ntesa per </w:t>
      </w:r>
      <w:r>
        <w:rPr>
          <w:rStyle w:val="tlid-translation"/>
          <w:rFonts w:ascii="Arial" w:eastAsia="Times New Roman" w:hAnsi="Arial" w:cs="Arial"/>
          <w:b/>
          <w:lang w:val="it-IT"/>
        </w:rPr>
        <w:t xml:space="preserve">l’attuazione di </w:t>
      </w:r>
      <w:r w:rsidR="007C4DE2" w:rsidRPr="00876D28">
        <w:rPr>
          <w:rStyle w:val="tlid-translation"/>
          <w:rFonts w:ascii="Arial" w:eastAsia="Times New Roman" w:hAnsi="Arial" w:cs="Arial"/>
          <w:b/>
          <w:lang w:val="it-IT"/>
        </w:rPr>
        <w:t>attività congiunte</w:t>
      </w:r>
    </w:p>
    <w:p w14:paraId="00510E42" w14:textId="77777777" w:rsidR="00B87FDF" w:rsidRDefault="00B87FD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7E0A81" w14:textId="77777777" w:rsidR="00876D28" w:rsidRDefault="00876D28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42D523AC" w14:textId="2576F73E" w:rsidR="007C4DE2" w:rsidRPr="006C6A4F" w:rsidRDefault="00876D28" w:rsidP="006C6A4F">
      <w:pPr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L'ICGEB e TWAS/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UNESCO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condividono l'obiettivo di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sostenere a livello mondiale, lo </w:t>
      </w:r>
      <w:r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sviluppo di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capacità nel </w:t>
      </w:r>
      <w:r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campo delle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biotec</w:t>
      </w:r>
      <w:r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nologie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e dei settori correlati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. I due I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stituti con 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sede a Trieste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hanno </w:t>
      </w:r>
      <w:r w:rsidR="00B63382">
        <w:rPr>
          <w:rFonts w:ascii="Arial" w:eastAsia="Times New Roman" w:hAnsi="Arial" w:cs="Arial"/>
          <w:sz w:val="22"/>
          <w:szCs w:val="22"/>
          <w:lang w:val="it-IT" w:eastAsia="it-IT"/>
        </w:rPr>
        <w:t>deciso di collaborare per l’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attuazione di attività congiunte, tra cui 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proposte di sovvenzione</w:t>
      </w:r>
      <w:r w:rsidR="00075047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e finanziamento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, conferenze, corsi, programmi di scambio e borse di studio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</w:t>
      </w:r>
      <w:proofErr w:type="gramStart"/>
      <w:r w:rsidR="00B63382">
        <w:rPr>
          <w:rFonts w:ascii="Arial" w:eastAsia="Times New Roman" w:hAnsi="Arial" w:cs="Arial"/>
          <w:sz w:val="22"/>
          <w:szCs w:val="22"/>
          <w:lang w:val="it-IT" w:eastAsia="it-IT"/>
        </w:rPr>
        <w:t>finalizzate</w:t>
      </w:r>
      <w:proofErr w:type="gramEnd"/>
      <w:r w:rsidR="00B63382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in particolare a sostenere i 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p</w:t>
      </w:r>
      <w:r w:rsidR="00B6338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aesi meno sviluppati</w:t>
      </w:r>
      <w:r w:rsidR="00B63382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(LDC), le </w:t>
      </w:r>
      <w:r w:rsidR="00B6338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donne ricercatrici e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scienziate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</w:t>
      </w:r>
      <w:r w:rsidR="00B63382">
        <w:rPr>
          <w:rFonts w:ascii="Arial" w:eastAsia="Times New Roman" w:hAnsi="Arial" w:cs="Arial"/>
          <w:sz w:val="22"/>
          <w:szCs w:val="22"/>
          <w:lang w:val="it-IT" w:eastAsia="it-IT"/>
        </w:rPr>
        <w:t>d il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FF28C9">
        <w:rPr>
          <w:rFonts w:ascii="Arial" w:eastAsia="Times New Roman" w:hAnsi="Arial" w:cs="Arial"/>
          <w:b/>
          <w:sz w:val="22"/>
          <w:szCs w:val="22"/>
          <w:lang w:val="it-IT" w:eastAsia="it-IT"/>
        </w:rPr>
        <w:t>continente A</w:t>
      </w:r>
      <w:r w:rsidR="007C4DE2" w:rsidRPr="00075047">
        <w:rPr>
          <w:rFonts w:ascii="Arial" w:eastAsia="Times New Roman" w:hAnsi="Arial" w:cs="Arial"/>
          <w:b/>
          <w:sz w:val="22"/>
          <w:szCs w:val="22"/>
          <w:lang w:val="it-IT" w:eastAsia="it-IT"/>
        </w:rPr>
        <w:t>fricano</w:t>
      </w:r>
      <w:r w:rsidR="007C4DE2" w:rsidRPr="00876D28">
        <w:rPr>
          <w:rFonts w:ascii="Arial" w:eastAsia="Times New Roman" w:hAnsi="Arial" w:cs="Arial"/>
          <w:sz w:val="22"/>
          <w:szCs w:val="22"/>
          <w:lang w:val="it-IT" w:eastAsia="it-IT"/>
        </w:rPr>
        <w:t>.</w:t>
      </w:r>
    </w:p>
    <w:p w14:paraId="0E842F2B" w14:textId="77777777" w:rsidR="00162CDA" w:rsidRDefault="00EC0F67" w:rsidP="00162CDA">
      <w:pPr>
        <w:spacing w:before="120"/>
        <w:jc w:val="both"/>
        <w:rPr>
          <w:rStyle w:val="tlid-translation"/>
          <w:rFonts w:ascii="Arial" w:eastAsia="Times New Roman" w:hAnsi="Arial" w:cs="Arial"/>
          <w:sz w:val="22"/>
          <w:szCs w:val="22"/>
          <w:lang w:val="it-IT"/>
        </w:rPr>
      </w:pPr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La collaborazione, incentrata sulle aree strategiche delle </w:t>
      </w:r>
      <w:r w:rsidRPr="001946D1">
        <w:rPr>
          <w:rStyle w:val="tlid-translation"/>
          <w:rFonts w:ascii="Arial" w:eastAsia="Times New Roman" w:hAnsi="Arial" w:cs="Arial"/>
          <w:b/>
          <w:sz w:val="22"/>
          <w:szCs w:val="22"/>
          <w:lang w:val="it-IT"/>
        </w:rPr>
        <w:t>biotecnologie e dei settori correlati</w:t>
      </w:r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, avrà lo scopo di contribuire al raggiungimento degli Obiettivi </w:t>
      </w:r>
      <w:proofErr w:type="gramStart"/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di</w:t>
      </w:r>
      <w:proofErr w:type="gramEnd"/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Sviluppo Sostenibile (</w:t>
      </w:r>
      <w:proofErr w:type="spellStart"/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SDGs</w:t>
      </w:r>
      <w:proofErr w:type="spellEnd"/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) legati alla salute, alla sicurezza alimentare ed energetica e alla parità di genere. A questo fine </w:t>
      </w:r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sarà</w:t>
      </w:r>
      <w:r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Pr="001946D1">
        <w:rPr>
          <w:rStyle w:val="tlid-translation"/>
          <w:rFonts w:ascii="Arial" w:eastAsia="Times New Roman" w:hAnsi="Arial" w:cs="Arial"/>
          <w:b/>
          <w:sz w:val="22"/>
          <w:szCs w:val="22"/>
          <w:lang w:val="it-IT"/>
        </w:rPr>
        <w:t xml:space="preserve">promossa la collaborazione </w:t>
      </w:r>
      <w:r w:rsidR="001946D1" w:rsidRPr="001946D1">
        <w:rPr>
          <w:rStyle w:val="tlid-translation"/>
          <w:rFonts w:ascii="Arial" w:eastAsia="Times New Roman" w:hAnsi="Arial" w:cs="Arial"/>
          <w:b/>
          <w:sz w:val="22"/>
          <w:szCs w:val="22"/>
          <w:lang w:val="it-IT"/>
        </w:rPr>
        <w:t>per programmi di scambio</w:t>
      </w:r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destinati a ricercatori ed esperti da e per laboratori dell’ICGEB e dei suoi Centri Regionali </w:t>
      </w:r>
      <w:proofErr w:type="gramStart"/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ed</w:t>
      </w:r>
      <w:proofErr w:type="gramEnd"/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Affiliati, promuovendo in tal modo la cooperazione </w:t>
      </w:r>
      <w:r w:rsidR="001946D1" w:rsidRPr="001946D1">
        <w:rPr>
          <w:rStyle w:val="tlid-translation"/>
          <w:rFonts w:ascii="Arial" w:eastAsia="Times New Roman" w:hAnsi="Arial" w:cs="Arial"/>
          <w:b/>
          <w:sz w:val="22"/>
          <w:szCs w:val="22"/>
          <w:lang w:val="it-IT"/>
        </w:rPr>
        <w:t>Sud-Sud</w:t>
      </w:r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e </w:t>
      </w:r>
      <w:r w:rsidR="001946D1" w:rsidRPr="001946D1">
        <w:rPr>
          <w:rStyle w:val="tlid-translation"/>
          <w:rFonts w:ascii="Arial" w:eastAsia="Times New Roman" w:hAnsi="Arial" w:cs="Arial"/>
          <w:b/>
          <w:sz w:val="22"/>
          <w:szCs w:val="22"/>
          <w:lang w:val="it-IT"/>
        </w:rPr>
        <w:t>Nord-Sud</w:t>
      </w:r>
      <w:r w:rsidR="001946D1" w:rsidRPr="001946D1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.</w:t>
      </w:r>
    </w:p>
    <w:p w14:paraId="0B26AA99" w14:textId="77777777" w:rsidR="00AD72D3" w:rsidRDefault="00162CDA" w:rsidP="00AD72D3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>
        <w:rPr>
          <w:rFonts w:ascii="Arial" w:eastAsia="Times New Roman" w:hAnsi="Arial" w:cs="Arial"/>
          <w:sz w:val="22"/>
          <w:szCs w:val="22"/>
          <w:lang w:val="it-IT" w:eastAsia="it-IT"/>
        </w:rPr>
        <w:t>Le due Istituzioni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concordano inoltre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di </w:t>
      </w:r>
      <w:proofErr w:type="gramStart"/>
      <w:r>
        <w:rPr>
          <w:rFonts w:ascii="Arial" w:eastAsia="Times New Roman" w:hAnsi="Arial" w:cs="Arial"/>
          <w:sz w:val="22"/>
          <w:szCs w:val="22"/>
          <w:lang w:val="it-IT" w:eastAsia="it-IT"/>
        </w:rPr>
        <w:t>dar vita</w:t>
      </w:r>
      <w:proofErr w:type="gramEnd"/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ad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un </w:t>
      </w:r>
      <w:r w:rsidR="007C4DE2"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programma </w:t>
      </w:r>
      <w:r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>congiunto</w:t>
      </w:r>
      <w:r w:rsidR="007C4DE2"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 </w:t>
      </w:r>
      <w:r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per l’erogazione di </w:t>
      </w:r>
      <w:r w:rsidR="007C4DE2"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 xml:space="preserve">borse di studio </w:t>
      </w:r>
      <w:r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>Post-dottorato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destinate a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ricercatori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del settore delle biotecnologie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affini,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dando priorità 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alle </w:t>
      </w:r>
      <w:r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>ricercatrici donne A</w:t>
      </w:r>
      <w:r w:rsidR="007C4DE2" w:rsidRPr="00162CDA">
        <w:rPr>
          <w:rFonts w:ascii="Arial" w:eastAsia="Times New Roman" w:hAnsi="Arial" w:cs="Arial"/>
          <w:b/>
          <w:sz w:val="22"/>
          <w:szCs w:val="22"/>
          <w:lang w:val="it-IT" w:eastAsia="it-IT"/>
        </w:rPr>
        <w:t>fricane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. I vincitori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delle borse di studio potranno essere ospitati in una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delle tre sedi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dell'ICGEB in Italia, India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o Sudafrica, o in uno dei suoi C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entri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Affiliati o Centri di R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icerca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R</w:t>
      </w:r>
      <w:r w:rsidR="007C4DE2" w:rsidRPr="00D14689">
        <w:rPr>
          <w:rFonts w:ascii="Arial" w:eastAsia="Times New Roman" w:hAnsi="Arial" w:cs="Arial"/>
          <w:sz w:val="22"/>
          <w:szCs w:val="22"/>
          <w:lang w:val="it-IT" w:eastAsia="it-IT"/>
        </w:rPr>
        <w:t>egionali.</w:t>
      </w:r>
    </w:p>
    <w:p w14:paraId="28853837" w14:textId="77777777" w:rsidR="00AD72D3" w:rsidRDefault="007C4DE2" w:rsidP="00AD72D3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5D2ED7">
        <w:rPr>
          <w:rFonts w:ascii="Arial" w:eastAsia="Times New Roman" w:hAnsi="Arial" w:cs="Arial"/>
          <w:sz w:val="22"/>
          <w:szCs w:val="22"/>
          <w:lang w:val="it-IT" w:eastAsia="it-IT"/>
        </w:rPr>
        <w:t xml:space="preserve">Lawrence </w:t>
      </w:r>
      <w:proofErr w:type="spellStart"/>
      <w:r w:rsidRPr="005D2ED7">
        <w:rPr>
          <w:rFonts w:ascii="Arial" w:eastAsia="Times New Roman" w:hAnsi="Arial" w:cs="Arial"/>
          <w:sz w:val="22"/>
          <w:szCs w:val="22"/>
          <w:lang w:val="it-IT" w:eastAsia="it-IT"/>
        </w:rPr>
        <w:t>Banks</w:t>
      </w:r>
      <w:proofErr w:type="spellEnd"/>
      <w:r w:rsidRPr="005D2ED7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9D0A0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ha </w:t>
      </w:r>
      <w:r w:rsidR="005D2ED7">
        <w:rPr>
          <w:rFonts w:ascii="Arial" w:eastAsia="Times New Roman" w:hAnsi="Arial" w:cs="Arial"/>
          <w:sz w:val="22"/>
          <w:szCs w:val="22"/>
          <w:lang w:val="it-IT" w:eastAsia="it-IT"/>
        </w:rPr>
        <w:t>dichiara</w:t>
      </w:r>
      <w:r w:rsidR="009D0A09">
        <w:rPr>
          <w:rFonts w:ascii="Arial" w:eastAsia="Times New Roman" w:hAnsi="Arial" w:cs="Arial"/>
          <w:sz w:val="22"/>
          <w:szCs w:val="22"/>
          <w:lang w:val="it-IT" w:eastAsia="it-IT"/>
        </w:rPr>
        <w:t>to</w:t>
      </w:r>
      <w:r w:rsidR="005D2ED7">
        <w:rPr>
          <w:rFonts w:ascii="Arial" w:eastAsia="Times New Roman" w:hAnsi="Arial" w:cs="Arial"/>
          <w:sz w:val="22"/>
          <w:szCs w:val="22"/>
          <w:lang w:val="it-IT" w:eastAsia="it-IT"/>
        </w:rPr>
        <w:t xml:space="preserve">: </w:t>
      </w:r>
      <w:r w:rsidR="005D2ED7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"I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CGEB e TWAS sono in prima linea </w:t>
      </w:r>
      <w:r w:rsidR="005D2ED7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nell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a </w:t>
      </w:r>
      <w:proofErr w:type="gramStart"/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promozione</w:t>
      </w:r>
      <w:proofErr w:type="gramEnd"/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 della diplomazia scientifica e della cooperazione </w:t>
      </w:r>
      <w:r w:rsidR="005D2ED7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internazionale. C</w:t>
      </w:r>
      <w:r w:rsidR="00E80DD0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ondividiamo 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molti </w:t>
      </w:r>
      <w:r w:rsidR="00E80DD0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obiettivi come l’utilizzo della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 scienza per lo sviluppo e </w:t>
      </w:r>
      <w:r w:rsidR="009D0A09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vogliamo 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garantire che i </w:t>
      </w:r>
      <w:r w:rsidR="00E80DD0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risultati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 della moderna biologia molecolare possano migliorare la vita delle nostre popolazioni nel mondo. </w:t>
      </w:r>
      <w:proofErr w:type="gramStart"/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Questo incontro tra ICGEB e TWAS è una sinergia perfetta e rafforzerà notevolmente ciascuno dei nostri programmi</w:t>
      </w:r>
      <w:r w:rsidR="00AD72D3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, e contribuirà all’adempimento delle</w:t>
      </w:r>
      <w:r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 xml:space="preserve"> </w:t>
      </w:r>
      <w:r w:rsidR="009D0A09" w:rsidRPr="007D1DB4">
        <w:rPr>
          <w:rFonts w:ascii="Arial" w:eastAsia="Times New Roman" w:hAnsi="Arial" w:cs="Arial"/>
          <w:i/>
          <w:sz w:val="22"/>
          <w:szCs w:val="22"/>
          <w:lang w:val="it-IT" w:eastAsia="it-IT"/>
        </w:rPr>
        <w:t>nostre nobili missioni"</w:t>
      </w:r>
      <w:r w:rsidR="009D0A09">
        <w:rPr>
          <w:rFonts w:ascii="Arial" w:eastAsia="Times New Roman" w:hAnsi="Arial" w:cs="Arial"/>
          <w:sz w:val="22"/>
          <w:szCs w:val="22"/>
          <w:lang w:val="it-IT" w:eastAsia="it-IT"/>
        </w:rPr>
        <w:t>.</w:t>
      </w:r>
      <w:proofErr w:type="gramEnd"/>
    </w:p>
    <w:p w14:paraId="7F7622E8" w14:textId="77777777" w:rsidR="003949E7" w:rsidRDefault="007C4DE2" w:rsidP="003949E7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I programmi dell'ICGEB per </w:t>
      </w:r>
      <w:r w:rsidR="00AD72D3"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il rafforzamento</w:t>
      </w:r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delle capacità sono attivi da oltre </w:t>
      </w:r>
      <w:proofErr w:type="gramStart"/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30</w:t>
      </w:r>
      <w:proofErr w:type="gramEnd"/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anni. </w:t>
      </w:r>
      <w:r w:rsid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L’Organizzazione opera come </w:t>
      </w:r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strumento di politica </w:t>
      </w:r>
      <w:bookmarkStart w:id="0" w:name="_GoBack"/>
      <w:bookmarkEnd w:id="0"/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estera e diplomazia scientifica, assiste le economie emergenti e promuove la crescita</w:t>
      </w:r>
      <w:r w:rsid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autonoma attraverso l’utilizzo delle biotecnologie</w:t>
      </w:r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in un’ottica di</w:t>
      </w:r>
      <w:r w:rsidRPr="00AD72D3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sviluppo economico e sociale.</w:t>
      </w:r>
    </w:p>
    <w:p w14:paraId="05246885" w14:textId="77777777" w:rsidR="009C7605" w:rsidRDefault="003949E7" w:rsidP="009C7605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La firma di </w:t>
      </w:r>
      <w:proofErr w:type="gramStart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questo</w:t>
      </w:r>
      <w:proofErr w:type="gramEnd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Accordo ha luogo 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a 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un decennio dall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a scomparsa del padre fondatore e Direttore G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enerale</w:t>
      </w:r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dell'ICGEB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, Prof. Arturo Falaschi. La sua eredità continua a guidare la missione e la visione dell'Organizzazione per portare 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la 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ricerca avanzata, 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la 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formazione e 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il rafforzamento 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della capa</w:t>
      </w:r>
      <w:r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cità alle economie emergenti e ai paesi in</w:t>
      </w:r>
      <w:r w:rsidR="007C4DE2"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via di sviluppo.</w:t>
      </w:r>
    </w:p>
    <w:p w14:paraId="4EC85BDD" w14:textId="77777777" w:rsidR="00D74CD8" w:rsidRDefault="007C4DE2" w:rsidP="00D74CD8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proofErr w:type="spellStart"/>
      <w:proofErr w:type="gramStart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lastRenderedPageBreak/>
        <w:t>Romain</w:t>
      </w:r>
      <w:proofErr w:type="spellEnd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</w:t>
      </w:r>
      <w:proofErr w:type="spellStart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Murenzi</w:t>
      </w:r>
      <w:proofErr w:type="spellEnd"/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ha aggiunto: 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“La biotecnologia è un </w:t>
      </w:r>
      <w:r w:rsidR="003949E7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settore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in crescita in molti paesi in via di sviluppo, con applicazioni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nella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produzione alimentare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,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nella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sanità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,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e in molti altri campi</w:t>
      </w:r>
      <w:proofErr w:type="gramEnd"/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.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Fin </w:t>
      </w:r>
      <w:r w:rsidR="009C7605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dalla sua fondazione, avvenuta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a Trieste nel 1983 </w:t>
      </w:r>
      <w:proofErr w:type="gramStart"/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ad opera</w:t>
      </w:r>
      <w:proofErr w:type="gramEnd"/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di </w:t>
      </w:r>
      <w:proofErr w:type="spellStart"/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Abdus</w:t>
      </w:r>
      <w:proofErr w:type="spellEnd"/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Salam e dei suoi </w:t>
      </w:r>
      <w:r w:rsidR="009C7605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illustri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colleghi, 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TWAS ha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realizzato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programmi per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il rafforzamento delle capacità nel Sud del mondo. 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Collaborare con l'ICGEB è un passo naturale. </w:t>
      </w:r>
      <w:proofErr w:type="gramStart"/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Ci aspettiamo che le nostre sinergie producano nuovi programmi, </w:t>
      </w:r>
      <w:r w:rsidR="00BE783F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incrementando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il nostro impatto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all’interno dei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paesi in via di sviluppo e 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favorendo nuovi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 xml:space="preserve"> percors</w:t>
      </w:r>
      <w:r w:rsidR="006A2133"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i verso lo sviluppo sostenibile</w:t>
      </w:r>
      <w:r w:rsidRPr="007D1DB4">
        <w:rPr>
          <w:rStyle w:val="tlid-translation"/>
          <w:rFonts w:ascii="Arial" w:eastAsia="Times New Roman" w:hAnsi="Arial" w:cs="Arial"/>
          <w:i/>
          <w:sz w:val="22"/>
          <w:szCs w:val="22"/>
          <w:lang w:val="it-IT"/>
        </w:rPr>
        <w:t>"</w:t>
      </w:r>
      <w:r w:rsidRPr="003949E7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.</w:t>
      </w:r>
      <w:bookmarkStart w:id="1" w:name="_gjdgxs" w:colFirst="0" w:colLast="0"/>
      <w:bookmarkEnd w:id="1"/>
      <w:proofErr w:type="gramEnd"/>
    </w:p>
    <w:p w14:paraId="21235485" w14:textId="77777777" w:rsidR="000E0A98" w:rsidRDefault="007C4DE2" w:rsidP="000E0A98">
      <w:pPr>
        <w:spacing w:before="120"/>
        <w:jc w:val="both"/>
        <w:rPr>
          <w:rStyle w:val="tlid-translation"/>
          <w:rFonts w:ascii="Arial" w:eastAsia="Times New Roman" w:hAnsi="Arial" w:cs="Arial"/>
          <w:sz w:val="22"/>
          <w:szCs w:val="22"/>
          <w:lang w:val="it-IT"/>
        </w:rPr>
      </w:pP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Negli ultimi anni, TWAS ha supportato numerosi progetti </w:t>
      </w:r>
      <w:r w:rsid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di 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biotecnologia in oltre </w:t>
      </w:r>
      <w:proofErr w:type="gramStart"/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30</w:t>
      </w:r>
      <w:proofErr w:type="gramEnd"/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paes</w:t>
      </w:r>
      <w:r w:rsidR="0019427C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 in via di sviluppo. N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el 2013, in uno sf</w:t>
      </w:r>
      <w:r w:rsidR="0019427C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orzo congiunto con l'Accademia Cinese delle S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cienze, TWAS ha istituito </w:t>
      </w:r>
      <w:r w:rsid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una serie di 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centri strategici di eccellenza a</w:t>
      </w:r>
      <w:r w:rsidR="0019427C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Pechino, tra cui il Centro di E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ccellenza CAS-TWAS per le </w:t>
      </w:r>
      <w:r w:rsidR="0019427C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B</w:t>
      </w:r>
      <w:r w:rsidR="00D74CD8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iotecnologie.</w:t>
      </w:r>
      <w:r w:rsid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D74CD8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Il D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irettore</w:t>
      </w:r>
      <w:r w:rsidR="00D74CD8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del Centro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, il prof. Yin Li, </w:t>
      </w:r>
      <w:r w:rsidR="00D74CD8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è l’autore dell’importante rapporto, avvallato da TWAS, "Biotecnologie nei Paesi in via di sviluppo: Crescita e C</w:t>
      </w:r>
      <w:r w:rsidRPr="009C7605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>ompetitività"</w:t>
      </w:r>
      <w:r w:rsidR="00D74CD8">
        <w:rPr>
          <w:rStyle w:val="tlid-translation"/>
          <w:rFonts w:ascii="Arial" w:eastAsia="Times New Roman" w:hAnsi="Arial" w:cs="Arial"/>
          <w:sz w:val="22"/>
          <w:szCs w:val="22"/>
          <w:lang w:val="it-IT"/>
        </w:rPr>
        <w:t xml:space="preserve"> che evidenzia come la biotecnologia sia diventata uno dei principali motori di crescita economica, un’area chiave della concorrenza globale.</w:t>
      </w:r>
    </w:p>
    <w:p w14:paraId="60D5FC6E" w14:textId="636E3C7E" w:rsidR="007C4DE2" w:rsidRPr="00AD03F5" w:rsidRDefault="00AD03F5" w:rsidP="000E0A98">
      <w:pPr>
        <w:spacing w:before="12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Il </w:t>
      </w:r>
      <w:proofErr w:type="gramStart"/>
      <w:r>
        <w:rPr>
          <w:rFonts w:ascii="Arial" w:eastAsia="Times New Roman" w:hAnsi="Arial" w:cs="Arial"/>
          <w:sz w:val="22"/>
          <w:szCs w:val="22"/>
          <w:lang w:val="it-IT" w:eastAsia="it-IT"/>
        </w:rPr>
        <w:t>Memorandum</w:t>
      </w:r>
      <w:proofErr w:type="gramEnd"/>
      <w:r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d'I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>ntesa con l'ICGEB è quindi una pietra miliare per TWAS nella sua missione di rafforza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re la scienza e la ricerca nei P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aesi in via di sviluppo. In particolare, </w:t>
      </w:r>
      <w:r>
        <w:rPr>
          <w:rFonts w:ascii="Arial" w:eastAsia="Times New Roman" w:hAnsi="Arial" w:cs="Arial"/>
          <w:sz w:val="22"/>
          <w:szCs w:val="22"/>
          <w:lang w:val="it-IT" w:eastAsia="it-IT"/>
        </w:rPr>
        <w:t>i Centri ICGEB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0E0A9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localizzati 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in Sudafrica e in India </w:t>
      </w:r>
      <w:r w:rsidR="000E0A98">
        <w:rPr>
          <w:rFonts w:ascii="Arial" w:eastAsia="Times New Roman" w:hAnsi="Arial" w:cs="Arial"/>
          <w:sz w:val="22"/>
          <w:szCs w:val="22"/>
          <w:lang w:val="it-IT" w:eastAsia="it-IT"/>
        </w:rPr>
        <w:t xml:space="preserve">costituiscono, anche logisticamente, il partner 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ideale per integrare e supportare alcune delle iniziative </w:t>
      </w:r>
      <w:r w:rsidR="000E0A98">
        <w:rPr>
          <w:rFonts w:ascii="Arial" w:eastAsia="Times New Roman" w:hAnsi="Arial" w:cs="Arial"/>
          <w:sz w:val="22"/>
          <w:szCs w:val="22"/>
          <w:lang w:val="it-IT" w:eastAsia="it-IT"/>
        </w:rPr>
        <w:t>TWAS in corso di realizzazione e basate sulla cooperazione Sud-S</w:t>
      </w:r>
      <w:r w:rsidR="007C4DE2" w:rsidRPr="00AD03F5">
        <w:rPr>
          <w:rFonts w:ascii="Arial" w:eastAsia="Times New Roman" w:hAnsi="Arial" w:cs="Arial"/>
          <w:sz w:val="22"/>
          <w:szCs w:val="22"/>
          <w:lang w:val="it-IT" w:eastAsia="it-IT"/>
        </w:rPr>
        <w:t>ud.</w:t>
      </w:r>
    </w:p>
    <w:p w14:paraId="0C41EC71" w14:textId="77777777" w:rsidR="007C4DE2" w:rsidRPr="00AD03F5" w:rsidRDefault="007C4DE2" w:rsidP="00AD03F5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1874C7" w14:textId="77777777" w:rsidR="00B87FDF" w:rsidRDefault="00B87FDF">
      <w:pPr>
        <w:rPr>
          <w:rFonts w:ascii="Arial" w:eastAsia="Arial" w:hAnsi="Arial" w:cs="Arial"/>
          <w:sz w:val="22"/>
          <w:szCs w:val="22"/>
        </w:rPr>
      </w:pPr>
    </w:p>
    <w:p w14:paraId="3D44EC4E" w14:textId="77777777" w:rsidR="00B87FDF" w:rsidRDefault="00B87FDF">
      <w:pPr>
        <w:pBdr>
          <w:bottom w:val="single" w:sz="12" w:space="1" w:color="000000"/>
        </w:pBdr>
        <w:rPr>
          <w:rFonts w:ascii="Arial" w:eastAsia="Arial" w:hAnsi="Arial" w:cs="Arial"/>
          <w:color w:val="000000"/>
        </w:rPr>
      </w:pPr>
    </w:p>
    <w:p w14:paraId="182A4966" w14:textId="77777777" w:rsidR="00B87FDF" w:rsidRDefault="00B87FDF">
      <w:pPr>
        <w:rPr>
          <w:rFonts w:ascii="Arial" w:eastAsia="Arial" w:hAnsi="Arial" w:cs="Arial"/>
          <w:color w:val="000000"/>
        </w:rPr>
      </w:pPr>
    </w:p>
    <w:p w14:paraId="294E9876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 contacts:</w:t>
      </w:r>
    </w:p>
    <w:p w14:paraId="473BA881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ICGEB</w:t>
      </w:r>
    </w:p>
    <w:p w14:paraId="56BC3B32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Suzanne Kerbavcic, Head of Communications, Public Information and Outreach</w:t>
      </w:r>
    </w:p>
    <w:p w14:paraId="0E37E14E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Tel: +39-040-3757315; Cell: +39-340-5971692</w:t>
      </w:r>
    </w:p>
    <w:p w14:paraId="10CB35A5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Email: kerbav@icgeb.org, press@icgeb.org</w:t>
      </w:r>
    </w:p>
    <w:p w14:paraId="5ED5B948" w14:textId="77777777" w:rsidR="00B87FDF" w:rsidRDefault="00B87FDF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831DDCA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TWAS/UNESCO</w:t>
      </w:r>
    </w:p>
    <w:p w14:paraId="3C167808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Cristina S</w:t>
      </w:r>
      <w:r w:rsidR="00C73C40">
        <w:rPr>
          <w:rFonts w:ascii="Arial" w:eastAsia="Arial" w:hAnsi="Arial" w:cs="Arial"/>
          <w:color w:val="000000"/>
          <w:sz w:val="20"/>
          <w:szCs w:val="20"/>
        </w:rPr>
        <w:t>erra, Public Information Office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="0095187D">
        <w:rPr>
          <w:rFonts w:ascii="Arial" w:eastAsia="Arial" w:hAnsi="Arial" w:cs="Arial"/>
          <w:color w:val="000000"/>
          <w:sz w:val="20"/>
          <w:szCs w:val="20"/>
        </w:rPr>
        <w:t>Cell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32120F">
        <w:rPr>
          <w:rFonts w:ascii="Arial" w:eastAsia="Arial" w:hAnsi="Arial" w:cs="Arial"/>
          <w:color w:val="000000"/>
          <w:sz w:val="20"/>
          <w:szCs w:val="20"/>
        </w:rPr>
        <w:t>+39 338 4305210</w:t>
      </w:r>
    </w:p>
    <w:p w14:paraId="4507A917" w14:textId="77777777" w:rsidR="00B87FDF" w:rsidRDefault="003074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Email:</w:t>
      </w:r>
      <w:r w:rsidR="0032120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120F" w:rsidRPr="0032120F">
        <w:rPr>
          <w:rFonts w:ascii="Arial" w:eastAsia="Arial" w:hAnsi="Arial" w:cs="Arial"/>
          <w:color w:val="000000"/>
          <w:sz w:val="20"/>
          <w:szCs w:val="20"/>
        </w:rPr>
        <w:t>cserra@twas.org</w:t>
      </w:r>
    </w:p>
    <w:sectPr w:rsidR="00B87FDF">
      <w:footerReference w:type="default" r:id="rId7"/>
      <w:headerReference w:type="first" r:id="rId8"/>
      <w:pgSz w:w="11900" w:h="16840"/>
      <w:pgMar w:top="1138" w:right="1138" w:bottom="1138" w:left="1138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8E667" w14:textId="77777777" w:rsidR="00AD03F5" w:rsidRDefault="00AD03F5">
      <w:r>
        <w:separator/>
      </w:r>
    </w:p>
  </w:endnote>
  <w:endnote w:type="continuationSeparator" w:id="0">
    <w:p w14:paraId="5774CF9D" w14:textId="77777777" w:rsidR="00AD03F5" w:rsidRDefault="00A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8183" w14:textId="77777777" w:rsidR="00AD03F5" w:rsidRDefault="00AD0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 wp14:anchorId="7DFA03B4" wp14:editId="7B6D02F4">
          <wp:extent cx="6111240" cy="786276"/>
          <wp:effectExtent l="0" t="0" r="0" b="0"/>
          <wp:docPr id="2" name="image2.jpg" descr="Bottom ICGEB le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ottom ICGEB le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786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BD8F" w14:textId="77777777" w:rsidR="00AD03F5" w:rsidRDefault="00AD03F5">
      <w:r>
        <w:separator/>
      </w:r>
    </w:p>
  </w:footnote>
  <w:footnote w:type="continuationSeparator" w:id="0">
    <w:p w14:paraId="24BFD718" w14:textId="77777777" w:rsidR="00AD03F5" w:rsidRDefault="00AD0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CC5C" w14:textId="77777777" w:rsidR="00AD03F5" w:rsidRDefault="00AD0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035"/>
      </w:tabs>
      <w:ind w:left="-450"/>
      <w:rPr>
        <w:color w:val="000000"/>
      </w:rPr>
    </w:pPr>
    <w:r>
      <w:rPr>
        <w:noProof/>
        <w:color w:val="000000"/>
        <w:lang w:val="it-IT" w:eastAsia="it-IT"/>
      </w:rPr>
      <w:drawing>
        <wp:anchor distT="0" distB="0" distL="114300" distR="114300" simplePos="0" relativeHeight="251658240" behindDoc="0" locked="0" layoutInCell="1" hidden="0" allowOverlap="1" wp14:anchorId="20174081" wp14:editId="37126410">
          <wp:simplePos x="0" y="0"/>
          <wp:positionH relativeFrom="margin">
            <wp:posOffset>3657600</wp:posOffset>
          </wp:positionH>
          <wp:positionV relativeFrom="margin">
            <wp:posOffset>-830579</wp:posOffset>
          </wp:positionV>
          <wp:extent cx="2794000" cy="90106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00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it-IT" w:eastAsia="it-IT"/>
      </w:rPr>
      <w:drawing>
        <wp:inline distT="0" distB="0" distL="0" distR="0" wp14:anchorId="5795936D" wp14:editId="20459FBB">
          <wp:extent cx="3724911" cy="524308"/>
          <wp:effectExtent l="0" t="0" r="0" b="0"/>
          <wp:docPr id="3" name="image1.jpg" descr="Macintosh HD:Users:prata:Documents:MARELLA:PROGETTI GRAFICA ICGEB:LOGHI:ICGEB LOGOS 2017:ICGEB logo 2017:ICGEB logo 2020:ICGEB logo senza develop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prata:Documents:MARELLA:PROGETTI GRAFICA ICGEB:LOGHI:ICGEB LOGOS 2017:ICGEB logo 2017:ICGEB logo 2020:ICGEB logo senza developin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911" cy="524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A0AEEE" w14:textId="77777777" w:rsidR="00AD03F5" w:rsidRDefault="00AD0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035"/>
      </w:tabs>
      <w:ind w:left="-45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F"/>
    <w:rsid w:val="00075047"/>
    <w:rsid w:val="000E0A98"/>
    <w:rsid w:val="00162CDA"/>
    <w:rsid w:val="0019427C"/>
    <w:rsid w:val="001946D1"/>
    <w:rsid w:val="003074F4"/>
    <w:rsid w:val="0032120F"/>
    <w:rsid w:val="00354E34"/>
    <w:rsid w:val="003949E7"/>
    <w:rsid w:val="003C126D"/>
    <w:rsid w:val="004934FF"/>
    <w:rsid w:val="005D2ED7"/>
    <w:rsid w:val="005E79C5"/>
    <w:rsid w:val="006A2133"/>
    <w:rsid w:val="006C6A4F"/>
    <w:rsid w:val="007C4DE2"/>
    <w:rsid w:val="007D1DB4"/>
    <w:rsid w:val="00876D28"/>
    <w:rsid w:val="0095187D"/>
    <w:rsid w:val="009833E5"/>
    <w:rsid w:val="009C7605"/>
    <w:rsid w:val="009D0A09"/>
    <w:rsid w:val="00AD03F5"/>
    <w:rsid w:val="00AD72D3"/>
    <w:rsid w:val="00B63382"/>
    <w:rsid w:val="00B87FDF"/>
    <w:rsid w:val="00BE783F"/>
    <w:rsid w:val="00C73C40"/>
    <w:rsid w:val="00D14689"/>
    <w:rsid w:val="00D74CD8"/>
    <w:rsid w:val="00E80DD0"/>
    <w:rsid w:val="00E965E9"/>
    <w:rsid w:val="00EB6E99"/>
    <w:rsid w:val="00EC0F67"/>
    <w:rsid w:val="00ED5502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3A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b/>
      <w:color w:val="4472C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5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65E9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Caratterepredefinitoparagrafo"/>
    <w:rsid w:val="007C4D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b/>
      <w:color w:val="4472C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5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65E9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Caratterepredefinitoparagrafo"/>
    <w:rsid w:val="007C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771</Words>
  <Characters>4397</Characters>
  <Application>Microsoft Macintosh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Zanier</cp:lastModifiedBy>
  <cp:revision>20</cp:revision>
  <dcterms:created xsi:type="dcterms:W3CDTF">2020-06-17T15:27:00Z</dcterms:created>
  <dcterms:modified xsi:type="dcterms:W3CDTF">2020-06-18T13:55:00Z</dcterms:modified>
</cp:coreProperties>
</file>